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9" w:rsidRDefault="00894A59" w:rsidP="00894A5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BE51BD" wp14:editId="4A528AAA">
            <wp:simplePos x="0" y="0"/>
            <wp:positionH relativeFrom="column">
              <wp:posOffset>4302760</wp:posOffset>
            </wp:positionH>
            <wp:positionV relativeFrom="paragraph">
              <wp:posOffset>-863600</wp:posOffset>
            </wp:positionV>
            <wp:extent cx="2268220" cy="890905"/>
            <wp:effectExtent l="0" t="0" r="0" b="4445"/>
            <wp:wrapNone/>
            <wp:docPr id="5" name="Picture 4" descr="SB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BNI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89090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  <a:alpha val="22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FC" w:rsidRDefault="00241AFC" w:rsidP="00894A59">
      <w:pPr>
        <w:rPr>
          <w:rFonts w:ascii="Arial" w:hAnsi="Arial" w:cs="Arial"/>
          <w:b/>
          <w:sz w:val="24"/>
          <w:szCs w:val="24"/>
        </w:rPr>
      </w:pPr>
    </w:p>
    <w:p w:rsidR="00894A59" w:rsidRDefault="00E1712B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 </w:t>
      </w:r>
      <w:r w:rsidR="00241AFC">
        <w:rPr>
          <w:rFonts w:ascii="Arial" w:hAnsi="Arial" w:cs="Arial"/>
          <w:b/>
          <w:sz w:val="24"/>
          <w:szCs w:val="24"/>
        </w:rPr>
        <w:t xml:space="preserve">CORE </w:t>
      </w:r>
      <w:r w:rsidR="00894A59" w:rsidRPr="00894A59">
        <w:rPr>
          <w:rFonts w:ascii="Arial" w:hAnsi="Arial" w:cs="Arial"/>
          <w:b/>
          <w:sz w:val="24"/>
          <w:szCs w:val="24"/>
        </w:rPr>
        <w:t>CHILD PROTECTION POLICY AND PROCEDURES</w:t>
      </w:r>
      <w:r w:rsidR="00894A59">
        <w:rPr>
          <w:rFonts w:ascii="Arial" w:hAnsi="Arial" w:cs="Arial"/>
          <w:b/>
          <w:sz w:val="24"/>
          <w:szCs w:val="24"/>
        </w:rPr>
        <w:t xml:space="preserve"> </w:t>
      </w:r>
      <w:r w:rsidR="004143DC">
        <w:rPr>
          <w:rFonts w:ascii="Arial" w:hAnsi="Arial" w:cs="Arial"/>
          <w:b/>
          <w:sz w:val="24"/>
          <w:szCs w:val="24"/>
        </w:rPr>
        <w:t xml:space="preserve">– </w:t>
      </w:r>
      <w:bookmarkStart w:id="0" w:name="_GoBack"/>
      <w:bookmarkEnd w:id="0"/>
      <w:r w:rsidR="004143DC">
        <w:rPr>
          <w:rFonts w:ascii="Arial" w:hAnsi="Arial" w:cs="Arial"/>
          <w:b/>
          <w:sz w:val="24"/>
          <w:szCs w:val="24"/>
        </w:rPr>
        <w:t xml:space="preserve">WHAT ARE THE MAIN DIFFERENCES? </w:t>
      </w:r>
    </w:p>
    <w:p w:rsidR="00241AFC" w:rsidRDefault="00241AFC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0D49" w:rsidRDefault="00241AFC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Core Policy and Procedures have been developed using the ACPC Regional Policy and Proc</w:t>
      </w:r>
      <w:r w:rsidR="00CA317E">
        <w:rPr>
          <w:rFonts w:ascii="Arial" w:hAnsi="Arial" w:cs="Arial"/>
          <w:b/>
          <w:sz w:val="24"/>
          <w:szCs w:val="24"/>
        </w:rPr>
        <w:t xml:space="preserve">edures and </w:t>
      </w:r>
      <w:r>
        <w:rPr>
          <w:rFonts w:ascii="Arial" w:hAnsi="Arial" w:cs="Arial"/>
          <w:b/>
          <w:sz w:val="24"/>
          <w:szCs w:val="24"/>
        </w:rPr>
        <w:t>the DoH policy document Cooperating to Safeguard Chil</w:t>
      </w:r>
      <w:r w:rsidR="000A45A8">
        <w:rPr>
          <w:rFonts w:ascii="Arial" w:hAnsi="Arial" w:cs="Arial"/>
          <w:b/>
          <w:sz w:val="24"/>
          <w:szCs w:val="24"/>
        </w:rPr>
        <w:t xml:space="preserve">dren and Young People 2016. </w:t>
      </w:r>
      <w:r w:rsidR="00B72FA8" w:rsidRPr="00B72FA8">
        <w:rPr>
          <w:rFonts w:ascii="Arial" w:hAnsi="Arial" w:cs="Arial"/>
          <w:b/>
          <w:sz w:val="24"/>
          <w:szCs w:val="24"/>
        </w:rPr>
        <w:t>The Policy and Procedures are contained on an electronic platform</w:t>
      </w:r>
      <w:r w:rsidR="00B72FA8">
        <w:rPr>
          <w:rFonts w:ascii="Arial" w:hAnsi="Arial" w:cs="Arial"/>
          <w:b/>
          <w:sz w:val="24"/>
          <w:szCs w:val="24"/>
        </w:rPr>
        <w:t>.</w:t>
      </w:r>
      <w:r w:rsidR="00B72FA8" w:rsidRPr="00B72FA8">
        <w:rPr>
          <w:rFonts w:ascii="Arial" w:hAnsi="Arial" w:cs="Arial"/>
          <w:b/>
          <w:sz w:val="24"/>
          <w:szCs w:val="24"/>
        </w:rPr>
        <w:t xml:space="preserve"> </w:t>
      </w:r>
    </w:p>
    <w:p w:rsidR="003D3634" w:rsidRDefault="003D3634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1DD1" w:rsidRDefault="002A1DD1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Core Policy and P</w:t>
      </w:r>
      <w:r w:rsidR="00E3702D">
        <w:rPr>
          <w:rFonts w:ascii="Arial" w:hAnsi="Arial" w:cs="Arial"/>
          <w:b/>
          <w:sz w:val="24"/>
          <w:szCs w:val="24"/>
        </w:rPr>
        <w:t>rocedures include the following:</w:t>
      </w:r>
    </w:p>
    <w:p w:rsidR="00E3702D" w:rsidRPr="00E73895" w:rsidRDefault="00E3702D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95">
        <w:rPr>
          <w:rFonts w:ascii="Arial" w:hAnsi="Arial" w:cs="Arial"/>
          <w:sz w:val="24"/>
          <w:szCs w:val="24"/>
        </w:rPr>
        <w:t>Responding to Abuse and Neglect</w:t>
      </w:r>
    </w:p>
    <w:p w:rsidR="00E73895" w:rsidRPr="00E73895" w:rsidRDefault="00E73895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95">
        <w:rPr>
          <w:rFonts w:ascii="Arial" w:hAnsi="Arial" w:cs="Arial"/>
          <w:sz w:val="24"/>
          <w:szCs w:val="24"/>
        </w:rPr>
        <w:t>Referrals</w:t>
      </w:r>
    </w:p>
    <w:p w:rsidR="00E73895" w:rsidRPr="00E73895" w:rsidRDefault="00E73895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95">
        <w:rPr>
          <w:rFonts w:ascii="Arial" w:hAnsi="Arial" w:cs="Arial"/>
          <w:sz w:val="24"/>
          <w:szCs w:val="24"/>
        </w:rPr>
        <w:t>Child Protection Investigation</w:t>
      </w:r>
    </w:p>
    <w:p w:rsidR="00E73895" w:rsidRDefault="00E73895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95">
        <w:rPr>
          <w:rFonts w:ascii="Arial" w:hAnsi="Arial" w:cs="Arial"/>
          <w:sz w:val="24"/>
          <w:szCs w:val="24"/>
        </w:rPr>
        <w:t>Understanding the Needs of Children in Northern Ireland (UNOCINI)</w:t>
      </w:r>
    </w:p>
    <w:p w:rsidR="00E73895" w:rsidRDefault="00E73895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95">
        <w:rPr>
          <w:rFonts w:ascii="Arial" w:hAnsi="Arial" w:cs="Arial"/>
          <w:sz w:val="24"/>
          <w:szCs w:val="24"/>
        </w:rPr>
        <w:t>Child Protection Case Conferences</w:t>
      </w:r>
    </w:p>
    <w:p w:rsidR="002D4E01" w:rsidRPr="00E73895" w:rsidRDefault="002D4E01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E01">
        <w:rPr>
          <w:rFonts w:ascii="Arial" w:hAnsi="Arial" w:cs="Arial"/>
          <w:sz w:val="24"/>
          <w:szCs w:val="24"/>
        </w:rPr>
        <w:t>Child Protection Register</w:t>
      </w:r>
    </w:p>
    <w:p w:rsidR="00E73895" w:rsidRPr="00E73895" w:rsidRDefault="00E73895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95">
        <w:rPr>
          <w:rFonts w:ascii="Arial" w:hAnsi="Arial" w:cs="Arial"/>
          <w:sz w:val="24"/>
          <w:szCs w:val="24"/>
        </w:rPr>
        <w:t>Appeal Process in relation to a Child Protection Case Conference</w:t>
      </w:r>
    </w:p>
    <w:p w:rsidR="00E73895" w:rsidRPr="00E73895" w:rsidRDefault="00E73895" w:rsidP="008C6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895">
        <w:rPr>
          <w:rFonts w:ascii="Arial" w:hAnsi="Arial" w:cs="Arial"/>
          <w:sz w:val="24"/>
          <w:szCs w:val="24"/>
        </w:rPr>
        <w:t>Management and Use of Information about Persons of Concern</w:t>
      </w:r>
    </w:p>
    <w:p w:rsidR="00E73895" w:rsidRDefault="00E73895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4A59" w:rsidRPr="00DB0D49" w:rsidRDefault="00894A59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0D49">
        <w:rPr>
          <w:rFonts w:ascii="Arial" w:hAnsi="Arial" w:cs="Arial"/>
          <w:b/>
          <w:sz w:val="24"/>
          <w:szCs w:val="24"/>
        </w:rPr>
        <w:t>What are the main differences?</w:t>
      </w:r>
    </w:p>
    <w:p w:rsidR="00AC3B34" w:rsidRPr="00BF4DBF" w:rsidRDefault="00B72FA8" w:rsidP="008C6E0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4DBF">
        <w:rPr>
          <w:rFonts w:ascii="Arial" w:hAnsi="Arial" w:cs="Arial"/>
          <w:b/>
          <w:sz w:val="24"/>
          <w:szCs w:val="24"/>
          <w:u w:val="single"/>
        </w:rPr>
        <w:t>General amendments to the Core Policy and Procedures:</w:t>
      </w:r>
    </w:p>
    <w:p w:rsidR="00BF4DBF" w:rsidRPr="00BF4DBF" w:rsidRDefault="00B72FA8" w:rsidP="00BF4DB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4DBF">
        <w:rPr>
          <w:rFonts w:ascii="Arial" w:hAnsi="Arial" w:cs="Arial"/>
          <w:sz w:val="24"/>
          <w:szCs w:val="24"/>
        </w:rPr>
        <w:t>Children and young people at the centre of interventions</w:t>
      </w:r>
      <w:r w:rsidRPr="00BF4DBF">
        <w:rPr>
          <w:rFonts w:ascii="Arial" w:hAnsi="Arial" w:cs="Arial"/>
          <w:b/>
          <w:sz w:val="24"/>
          <w:szCs w:val="24"/>
        </w:rPr>
        <w:t>.</w:t>
      </w:r>
    </w:p>
    <w:p w:rsidR="00BF4DBF" w:rsidRPr="00BF4DBF" w:rsidRDefault="00B72FA8" w:rsidP="00BF4DB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4DBF">
        <w:rPr>
          <w:rFonts w:ascii="Arial" w:hAnsi="Arial" w:cs="Arial"/>
          <w:sz w:val="24"/>
          <w:szCs w:val="24"/>
        </w:rPr>
        <w:t>Include links to relevant documents, protocols and guidance.</w:t>
      </w:r>
    </w:p>
    <w:p w:rsidR="00BF4DBF" w:rsidRPr="00BF4DBF" w:rsidRDefault="00B72FA8" w:rsidP="00BF4DB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4DBF">
        <w:rPr>
          <w:rFonts w:ascii="Arial" w:hAnsi="Arial" w:cs="Arial"/>
          <w:sz w:val="24"/>
          <w:szCs w:val="24"/>
        </w:rPr>
        <w:lastRenderedPageBreak/>
        <w:t>Re</w:t>
      </w:r>
      <w:r w:rsidR="003D3634">
        <w:rPr>
          <w:rFonts w:ascii="Arial" w:hAnsi="Arial" w:cs="Arial"/>
          <w:sz w:val="24"/>
          <w:szCs w:val="24"/>
        </w:rPr>
        <w:t>flect changes in practice, take</w:t>
      </w:r>
      <w:r w:rsidRPr="00BF4DBF">
        <w:rPr>
          <w:rFonts w:ascii="Arial" w:hAnsi="Arial" w:cs="Arial"/>
          <w:sz w:val="24"/>
          <w:szCs w:val="24"/>
        </w:rPr>
        <w:t xml:space="preserve"> cognizance of legislative changes, regional protocols and guidance.</w:t>
      </w:r>
    </w:p>
    <w:p w:rsidR="003D3634" w:rsidRPr="003D3634" w:rsidRDefault="00DB0D49" w:rsidP="003D363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4DBF">
        <w:rPr>
          <w:rFonts w:ascii="Arial" w:hAnsi="Arial" w:cs="Arial"/>
          <w:sz w:val="24"/>
          <w:szCs w:val="24"/>
        </w:rPr>
        <w:t>Takes account of issues relating to section 75 equality groups.</w:t>
      </w:r>
    </w:p>
    <w:p w:rsidR="003D3634" w:rsidRPr="003D3634" w:rsidRDefault="00DB0D49" w:rsidP="00B72FA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3634">
        <w:rPr>
          <w:rFonts w:ascii="Arial" w:hAnsi="Arial" w:cs="Arial"/>
          <w:sz w:val="24"/>
          <w:szCs w:val="24"/>
        </w:rPr>
        <w:t>Highlights the importance of consent and details principles of information sharing.</w:t>
      </w:r>
    </w:p>
    <w:p w:rsidR="00B72FA8" w:rsidRPr="003D3634" w:rsidRDefault="00B72FA8" w:rsidP="00B72FA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3634">
        <w:rPr>
          <w:rFonts w:ascii="Arial" w:hAnsi="Arial" w:cs="Arial"/>
          <w:sz w:val="24"/>
          <w:szCs w:val="24"/>
        </w:rPr>
        <w:t xml:space="preserve">Reflect current practice and </w:t>
      </w:r>
      <w:r w:rsidR="00AF384F" w:rsidRPr="003D3634">
        <w:rPr>
          <w:rFonts w:ascii="Arial" w:hAnsi="Arial" w:cs="Arial"/>
          <w:sz w:val="24"/>
          <w:szCs w:val="24"/>
        </w:rPr>
        <w:t>terminology</w:t>
      </w:r>
      <w:r w:rsidRPr="003D3634">
        <w:rPr>
          <w:rFonts w:ascii="Arial" w:hAnsi="Arial" w:cs="Arial"/>
          <w:sz w:val="24"/>
          <w:szCs w:val="24"/>
        </w:rPr>
        <w:t>.</w:t>
      </w:r>
    </w:p>
    <w:p w:rsidR="00BF4DBF" w:rsidRPr="00B72FA8" w:rsidRDefault="00BF4DBF" w:rsidP="00B72F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FA8" w:rsidRPr="00BF4DBF" w:rsidRDefault="00DB0D49" w:rsidP="00B72FA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4DBF">
        <w:rPr>
          <w:rFonts w:ascii="Arial" w:hAnsi="Arial" w:cs="Arial"/>
          <w:b/>
          <w:sz w:val="24"/>
          <w:szCs w:val="24"/>
          <w:u w:val="single"/>
        </w:rPr>
        <w:t>Specific Amendments to the Core Policy and Procedures:</w:t>
      </w:r>
    </w:p>
    <w:p w:rsidR="00B72FA8" w:rsidRDefault="00B72FA8" w:rsidP="00B72F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A8">
        <w:rPr>
          <w:rFonts w:ascii="Arial" w:hAnsi="Arial" w:cs="Arial"/>
          <w:b/>
          <w:sz w:val="24"/>
          <w:szCs w:val="24"/>
        </w:rPr>
        <w:t>Responding to Abuse and Neglect</w:t>
      </w:r>
    </w:p>
    <w:p w:rsidR="00B72FA8" w:rsidRPr="00DB0D49" w:rsidRDefault="00B72FA8" w:rsidP="00B72F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categories/type of abuse includes Exploitation and changes in relation to Neglect in accordance with Cooperating to Safeguard Children and Young People 2016.</w:t>
      </w:r>
    </w:p>
    <w:p w:rsidR="00B72FA8" w:rsidRDefault="00B72FA8" w:rsidP="00B72F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A8">
        <w:rPr>
          <w:rFonts w:ascii="Arial" w:hAnsi="Arial" w:cs="Arial"/>
          <w:b/>
          <w:sz w:val="24"/>
          <w:szCs w:val="24"/>
        </w:rPr>
        <w:t>Referrals</w:t>
      </w:r>
    </w:p>
    <w:p w:rsidR="00DB0D49" w:rsidRPr="00DB0D49" w:rsidRDefault="00DB0D49" w:rsidP="00B72F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 in regard to the making, receiving and outcomes of child protection referrals.</w:t>
      </w:r>
    </w:p>
    <w:p w:rsidR="00B72FA8" w:rsidRDefault="00B72FA8" w:rsidP="00B72F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A8">
        <w:rPr>
          <w:rFonts w:ascii="Arial" w:hAnsi="Arial" w:cs="Arial"/>
          <w:b/>
          <w:sz w:val="24"/>
          <w:szCs w:val="24"/>
        </w:rPr>
        <w:t>Child Protection Investigation</w:t>
      </w:r>
    </w:p>
    <w:p w:rsidR="00DB0D49" w:rsidRPr="00DB0D49" w:rsidRDefault="00DB0D49" w:rsidP="00EE32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D49">
        <w:rPr>
          <w:rFonts w:ascii="Arial" w:hAnsi="Arial" w:cs="Arial"/>
          <w:sz w:val="24"/>
          <w:szCs w:val="24"/>
        </w:rPr>
        <w:t xml:space="preserve">Separate Policy and Procedure in relation </w:t>
      </w:r>
      <w:r w:rsidR="00CF2156">
        <w:rPr>
          <w:rFonts w:ascii="Arial" w:hAnsi="Arial" w:cs="Arial"/>
          <w:sz w:val="24"/>
          <w:szCs w:val="24"/>
        </w:rPr>
        <w:t xml:space="preserve">the management of </w:t>
      </w:r>
      <w:r w:rsidRPr="00DB0D49">
        <w:rPr>
          <w:rFonts w:ascii="Arial" w:hAnsi="Arial" w:cs="Arial"/>
          <w:sz w:val="24"/>
          <w:szCs w:val="24"/>
        </w:rPr>
        <w:t>child protection investigations</w:t>
      </w:r>
      <w:r w:rsidR="00CF2156">
        <w:rPr>
          <w:rFonts w:ascii="Arial" w:hAnsi="Arial" w:cs="Arial"/>
          <w:sz w:val="24"/>
          <w:szCs w:val="24"/>
        </w:rPr>
        <w:t>.</w:t>
      </w:r>
    </w:p>
    <w:p w:rsidR="00B72FA8" w:rsidRDefault="00B72FA8" w:rsidP="00B72F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A8">
        <w:rPr>
          <w:rFonts w:ascii="Arial" w:hAnsi="Arial" w:cs="Arial"/>
          <w:b/>
          <w:sz w:val="24"/>
          <w:szCs w:val="24"/>
        </w:rPr>
        <w:t>Understanding the Needs of Children in Northern Ireland (UNOCINI)</w:t>
      </w:r>
    </w:p>
    <w:p w:rsidR="00B72FA8" w:rsidRPr="002D4E01" w:rsidRDefault="00B72FA8" w:rsidP="00B72F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UNOCINI Referral and Assessment Framework as the Regional platform to consider the needs of children and young people in need of protection.</w:t>
      </w:r>
    </w:p>
    <w:p w:rsidR="00B72FA8" w:rsidRDefault="00B72FA8" w:rsidP="00B72F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A8">
        <w:rPr>
          <w:rFonts w:ascii="Arial" w:hAnsi="Arial" w:cs="Arial"/>
          <w:b/>
          <w:sz w:val="24"/>
          <w:szCs w:val="24"/>
        </w:rPr>
        <w:t>Child Protection Case Conferences</w:t>
      </w:r>
    </w:p>
    <w:p w:rsidR="00B72FA8" w:rsidRDefault="00B72FA8" w:rsidP="00DB0D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29ED">
        <w:rPr>
          <w:rFonts w:ascii="Arial" w:hAnsi="Arial" w:cs="Arial"/>
          <w:sz w:val="24"/>
          <w:szCs w:val="24"/>
        </w:rPr>
        <w:t xml:space="preserve">Prior to discharge of the child/young person a multi-disciplinary meeting/discussion should take place to share information which includes both hospital and community professional staff. A clear discharge plan with </w:t>
      </w:r>
      <w:r w:rsidRPr="00E329ED">
        <w:rPr>
          <w:rFonts w:ascii="Arial" w:hAnsi="Arial" w:cs="Arial"/>
          <w:sz w:val="24"/>
          <w:szCs w:val="24"/>
        </w:rPr>
        <w:lastRenderedPageBreak/>
        <w:t xml:space="preserve">arrangements in place to protect the child/young person’s welfare on return to the community should be agreed by the multi-disciplinary team. </w:t>
      </w:r>
    </w:p>
    <w:p w:rsidR="00B72FA8" w:rsidRDefault="00B72FA8" w:rsidP="00DB0D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links to the Regional Pre-birth Risk Assessment and Expectant Mother UNOCINI Referral.</w:t>
      </w:r>
    </w:p>
    <w:p w:rsidR="00B72FA8" w:rsidRDefault="00B72FA8" w:rsidP="00DB0D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responsibility for convening a Child Protection Case Conference lies with the Health and Social Care Trusts and </w:t>
      </w:r>
      <w:r w:rsidR="003D3634">
        <w:rPr>
          <w:rFonts w:ascii="Arial" w:hAnsi="Arial" w:cs="Arial"/>
          <w:sz w:val="24"/>
          <w:szCs w:val="24"/>
        </w:rPr>
        <w:t xml:space="preserve">removes </w:t>
      </w:r>
      <w:r>
        <w:rPr>
          <w:rFonts w:ascii="Arial" w:hAnsi="Arial" w:cs="Arial"/>
          <w:sz w:val="24"/>
          <w:szCs w:val="24"/>
        </w:rPr>
        <w:t>this responsibility from the NSPCC</w:t>
      </w:r>
      <w:r w:rsidR="003D3634">
        <w:rPr>
          <w:rFonts w:ascii="Arial" w:hAnsi="Arial" w:cs="Arial"/>
          <w:sz w:val="24"/>
          <w:szCs w:val="24"/>
        </w:rPr>
        <w:t xml:space="preserve"> to reflect practice in Northern Ireland</w:t>
      </w:r>
      <w:r>
        <w:rPr>
          <w:rFonts w:ascii="Arial" w:hAnsi="Arial" w:cs="Arial"/>
          <w:sz w:val="24"/>
          <w:szCs w:val="24"/>
        </w:rPr>
        <w:t>.</w:t>
      </w:r>
    </w:p>
    <w:p w:rsidR="00B72FA8" w:rsidRDefault="003D3634" w:rsidP="00DB0D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representative for I</w:t>
      </w:r>
      <w:r w:rsidR="00B72FA8">
        <w:rPr>
          <w:rFonts w:ascii="Arial" w:hAnsi="Arial" w:cs="Arial"/>
          <w:sz w:val="24"/>
          <w:szCs w:val="24"/>
        </w:rPr>
        <w:t xml:space="preserve">nitial </w:t>
      </w:r>
      <w:r>
        <w:rPr>
          <w:rFonts w:ascii="Arial" w:hAnsi="Arial" w:cs="Arial"/>
          <w:sz w:val="24"/>
          <w:szCs w:val="24"/>
        </w:rPr>
        <w:t xml:space="preserve">Child Protection </w:t>
      </w:r>
      <w:r w:rsidR="00B72FA8">
        <w:rPr>
          <w:rFonts w:ascii="Arial" w:hAnsi="Arial" w:cs="Arial"/>
          <w:sz w:val="24"/>
          <w:szCs w:val="24"/>
        </w:rPr>
        <w:t>Case Conference</w:t>
      </w:r>
      <w:r>
        <w:rPr>
          <w:rFonts w:ascii="Arial" w:hAnsi="Arial" w:cs="Arial"/>
          <w:sz w:val="24"/>
          <w:szCs w:val="24"/>
        </w:rPr>
        <w:t>s</w:t>
      </w:r>
      <w:r w:rsidR="00B72FA8">
        <w:rPr>
          <w:rFonts w:ascii="Arial" w:hAnsi="Arial" w:cs="Arial"/>
          <w:sz w:val="24"/>
          <w:szCs w:val="24"/>
        </w:rPr>
        <w:t xml:space="preserve"> has been revised.</w:t>
      </w:r>
    </w:p>
    <w:p w:rsidR="00B72FA8" w:rsidRDefault="00B72FA8" w:rsidP="003D36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need to invite </w:t>
      </w:r>
      <w:r w:rsidR="003D3634">
        <w:rPr>
          <w:rFonts w:ascii="Arial" w:hAnsi="Arial" w:cs="Arial"/>
          <w:sz w:val="24"/>
          <w:szCs w:val="24"/>
        </w:rPr>
        <w:t>Independent G</w:t>
      </w:r>
      <w:r w:rsidRPr="00AC3B34">
        <w:rPr>
          <w:rFonts w:ascii="Arial" w:hAnsi="Arial" w:cs="Arial"/>
          <w:sz w:val="24"/>
          <w:szCs w:val="24"/>
        </w:rPr>
        <w:t>uardian for Separated Unaccompanied Child/Young Person, child victim or potential child victim of Human Trafficking or Modern Slavery once these are established.</w:t>
      </w:r>
    </w:p>
    <w:p w:rsidR="00B72FA8" w:rsidRDefault="00B72FA8" w:rsidP="003D36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C3B34">
        <w:rPr>
          <w:rFonts w:ascii="Arial" w:hAnsi="Arial" w:cs="Arial"/>
          <w:sz w:val="24"/>
          <w:szCs w:val="24"/>
        </w:rPr>
        <w:t>Professionals should inform the case co-ordinator if they have ceased involvement with the family/associated adult</w:t>
      </w:r>
      <w:r w:rsidR="00DB0D49">
        <w:rPr>
          <w:rFonts w:ascii="Arial" w:hAnsi="Arial" w:cs="Arial"/>
          <w:sz w:val="24"/>
          <w:szCs w:val="24"/>
        </w:rPr>
        <w:t>.</w:t>
      </w:r>
    </w:p>
    <w:p w:rsidR="00B72FA8" w:rsidRDefault="00B72FA8" w:rsidP="003D3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Case Conference Reports increased to two working days.</w:t>
      </w:r>
    </w:p>
    <w:p w:rsidR="00DB0D49" w:rsidRPr="00DB0D49" w:rsidRDefault="00DB0D49" w:rsidP="003D36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0D49">
        <w:rPr>
          <w:rFonts w:ascii="Arial" w:hAnsi="Arial" w:cs="Arial"/>
          <w:sz w:val="24"/>
          <w:szCs w:val="24"/>
        </w:rPr>
        <w:t xml:space="preserve">If a Child Protection Case Conference cannot proceed, those present must agree interim safeguarding arrangements to ensure that the child/young person is protected. </w:t>
      </w:r>
    </w:p>
    <w:p w:rsidR="00B72FA8" w:rsidRDefault="00B72FA8" w:rsidP="003D3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1379">
        <w:rPr>
          <w:rFonts w:ascii="Arial" w:hAnsi="Arial" w:cs="Arial"/>
          <w:sz w:val="24"/>
          <w:szCs w:val="24"/>
        </w:rPr>
        <w:t xml:space="preserve">The minutes </w:t>
      </w:r>
      <w:r w:rsidR="003D363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Child Protection </w:t>
      </w:r>
      <w:r w:rsidRPr="00A51379">
        <w:rPr>
          <w:rFonts w:ascii="Arial" w:hAnsi="Arial" w:cs="Arial"/>
          <w:sz w:val="24"/>
          <w:szCs w:val="24"/>
        </w:rPr>
        <w:t>Case Conference</w:t>
      </w:r>
      <w:r>
        <w:rPr>
          <w:rFonts w:ascii="Arial" w:hAnsi="Arial" w:cs="Arial"/>
          <w:sz w:val="24"/>
          <w:szCs w:val="24"/>
        </w:rPr>
        <w:t>s</w:t>
      </w:r>
      <w:r w:rsidRPr="00A51379">
        <w:rPr>
          <w:rFonts w:ascii="Arial" w:hAnsi="Arial" w:cs="Arial"/>
          <w:sz w:val="24"/>
          <w:szCs w:val="24"/>
        </w:rPr>
        <w:t xml:space="preserve"> will be distributed within 15 working days</w:t>
      </w:r>
      <w:r>
        <w:rPr>
          <w:rFonts w:ascii="Arial" w:hAnsi="Arial" w:cs="Arial"/>
          <w:sz w:val="24"/>
          <w:szCs w:val="24"/>
        </w:rPr>
        <w:t>.</w:t>
      </w:r>
    </w:p>
    <w:p w:rsidR="00B72FA8" w:rsidRDefault="00B72FA8" w:rsidP="003D3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guidance around the sharing of information from the Case Conference with parents</w:t>
      </w:r>
      <w:r w:rsidR="00DB0D49">
        <w:rPr>
          <w:rFonts w:ascii="Arial" w:hAnsi="Arial" w:cs="Arial"/>
          <w:sz w:val="24"/>
          <w:szCs w:val="24"/>
        </w:rPr>
        <w:t>.</w:t>
      </w:r>
    </w:p>
    <w:p w:rsidR="00DB0D49" w:rsidRPr="00DB0D49" w:rsidRDefault="00DB0D49" w:rsidP="003D36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0D49">
        <w:rPr>
          <w:rFonts w:ascii="Arial" w:hAnsi="Arial" w:cs="Arial"/>
          <w:sz w:val="24"/>
          <w:szCs w:val="24"/>
        </w:rPr>
        <w:t>Clearer guidance in relation t</w:t>
      </w:r>
      <w:r w:rsidR="003D3634">
        <w:rPr>
          <w:rFonts w:ascii="Arial" w:hAnsi="Arial" w:cs="Arial"/>
          <w:sz w:val="24"/>
          <w:szCs w:val="24"/>
        </w:rPr>
        <w:t xml:space="preserve">o </w:t>
      </w:r>
      <w:r w:rsidRPr="00DB0D49">
        <w:rPr>
          <w:rFonts w:ascii="Arial" w:hAnsi="Arial" w:cs="Arial"/>
          <w:sz w:val="24"/>
          <w:szCs w:val="24"/>
        </w:rPr>
        <w:t>chairing Core Groups.</w:t>
      </w:r>
    </w:p>
    <w:p w:rsidR="00B72FA8" w:rsidRDefault="00B72FA8" w:rsidP="003D3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deregistration any Child in Need </w:t>
      </w:r>
      <w:r w:rsidRPr="00FF7EA8">
        <w:rPr>
          <w:rFonts w:ascii="Arial" w:hAnsi="Arial" w:cs="Arial"/>
          <w:sz w:val="24"/>
          <w:szCs w:val="24"/>
        </w:rPr>
        <w:t>family support plan agreed should be reviewed within 3 months</w:t>
      </w:r>
      <w:r>
        <w:rPr>
          <w:rFonts w:ascii="Arial" w:hAnsi="Arial" w:cs="Arial"/>
          <w:sz w:val="24"/>
          <w:szCs w:val="24"/>
        </w:rPr>
        <w:t>.</w:t>
      </w:r>
    </w:p>
    <w:p w:rsidR="00DB0D49" w:rsidRDefault="00DB0D49" w:rsidP="00DB0D4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D49" w:rsidRDefault="00DB0D49" w:rsidP="00DB0D49">
      <w:pPr>
        <w:spacing w:line="360" w:lineRule="auto"/>
        <w:ind w:left="360" w:hanging="502"/>
        <w:jc w:val="both"/>
        <w:rPr>
          <w:rFonts w:ascii="Arial" w:hAnsi="Arial" w:cs="Arial"/>
          <w:b/>
          <w:sz w:val="24"/>
          <w:szCs w:val="24"/>
        </w:rPr>
      </w:pPr>
      <w:r w:rsidRPr="00DB0D49">
        <w:rPr>
          <w:rFonts w:ascii="Arial" w:hAnsi="Arial" w:cs="Arial"/>
          <w:b/>
          <w:sz w:val="24"/>
          <w:szCs w:val="24"/>
        </w:rPr>
        <w:t>Child Protection Register</w:t>
      </w:r>
    </w:p>
    <w:p w:rsidR="00DB0D49" w:rsidRDefault="00DB0D49" w:rsidP="00DB0D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detailed guidance regarding circumstances when children on the </w:t>
      </w:r>
      <w:r w:rsidR="00BF4DBF">
        <w:rPr>
          <w:rFonts w:ascii="Arial" w:hAnsi="Arial" w:cs="Arial"/>
          <w:sz w:val="24"/>
          <w:szCs w:val="24"/>
        </w:rPr>
        <w:t>Child P</w:t>
      </w:r>
      <w:r>
        <w:rPr>
          <w:rFonts w:ascii="Arial" w:hAnsi="Arial" w:cs="Arial"/>
          <w:sz w:val="24"/>
          <w:szCs w:val="24"/>
        </w:rPr>
        <w:t>rotecti</w:t>
      </w:r>
      <w:r w:rsidR="00BF4DBF">
        <w:rPr>
          <w:rFonts w:ascii="Arial" w:hAnsi="Arial" w:cs="Arial"/>
          <w:sz w:val="24"/>
          <w:szCs w:val="24"/>
        </w:rPr>
        <w:t>on R</w:t>
      </w:r>
      <w:r>
        <w:rPr>
          <w:rFonts w:ascii="Arial" w:hAnsi="Arial" w:cs="Arial"/>
          <w:sz w:val="24"/>
          <w:szCs w:val="24"/>
        </w:rPr>
        <w:t>egister move between Trusts and Jurisdictions.</w:t>
      </w:r>
    </w:p>
    <w:p w:rsidR="00BF4DBF" w:rsidRDefault="00BF4DBF" w:rsidP="00DB0D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 the changes brought about by the Electronic Care Record and access to the Register.</w:t>
      </w:r>
    </w:p>
    <w:p w:rsidR="00BF4DBF" w:rsidRDefault="00DB0D49" w:rsidP="003D3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 the new process in relation to missing persons.</w:t>
      </w:r>
    </w:p>
    <w:p w:rsidR="00B72FA8" w:rsidRDefault="00B72FA8" w:rsidP="00B72F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A8">
        <w:rPr>
          <w:rFonts w:ascii="Arial" w:hAnsi="Arial" w:cs="Arial"/>
          <w:b/>
          <w:sz w:val="24"/>
          <w:szCs w:val="24"/>
        </w:rPr>
        <w:lastRenderedPageBreak/>
        <w:t>Appeal Process in relation to a Child Protection Case Conference</w:t>
      </w:r>
    </w:p>
    <w:p w:rsidR="00DB0D49" w:rsidRPr="00BF4DBF" w:rsidRDefault="00DB0D49" w:rsidP="00BF4DB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4DBF">
        <w:rPr>
          <w:rFonts w:ascii="Arial" w:hAnsi="Arial" w:cs="Arial"/>
          <w:sz w:val="24"/>
          <w:szCs w:val="24"/>
        </w:rPr>
        <w:t xml:space="preserve">A new improved Child Protection Case Conference appeals process.  Any request to appeal the decision of a Child Protection Case Conference should be forwarded in writing to the Child Protection Case Conference Chairperson within 15 working days of the Child Protection Case Conference. </w:t>
      </w:r>
    </w:p>
    <w:p w:rsidR="003D3634" w:rsidRDefault="00B72FA8" w:rsidP="003D36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A8">
        <w:rPr>
          <w:rFonts w:ascii="Arial" w:hAnsi="Arial" w:cs="Arial"/>
          <w:b/>
          <w:sz w:val="24"/>
          <w:szCs w:val="24"/>
        </w:rPr>
        <w:t>Management and Use of Information about Persons of Concern</w:t>
      </w:r>
      <w:r w:rsidR="003D3634">
        <w:rPr>
          <w:rFonts w:ascii="Arial" w:hAnsi="Arial" w:cs="Arial"/>
          <w:b/>
          <w:sz w:val="24"/>
          <w:szCs w:val="24"/>
        </w:rPr>
        <w:t xml:space="preserve"> </w:t>
      </w:r>
    </w:p>
    <w:p w:rsidR="008C6E02" w:rsidRPr="003D3634" w:rsidRDefault="00241AFC" w:rsidP="003D363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3634">
        <w:rPr>
          <w:rFonts w:ascii="Arial" w:hAnsi="Arial" w:cs="Arial"/>
          <w:sz w:val="24"/>
          <w:szCs w:val="24"/>
        </w:rPr>
        <w:t>Informati</w:t>
      </w:r>
      <w:r w:rsidR="008C6E02" w:rsidRPr="003D3634">
        <w:rPr>
          <w:rFonts w:ascii="Arial" w:hAnsi="Arial" w:cs="Arial"/>
          <w:sz w:val="24"/>
          <w:szCs w:val="24"/>
        </w:rPr>
        <w:t>on regarding Persons of Concern.</w:t>
      </w:r>
      <w:r w:rsidR="008C6E02" w:rsidRPr="008C6E02">
        <w:t xml:space="preserve"> </w:t>
      </w:r>
      <w:r w:rsidR="008C6E02" w:rsidRPr="003D3634">
        <w:rPr>
          <w:rFonts w:ascii="Arial" w:hAnsi="Arial" w:cs="Arial"/>
          <w:sz w:val="24"/>
          <w:szCs w:val="24"/>
        </w:rPr>
        <w:t>This chapter ensures continuity with the arrangements and approaches in the PPANI manual of practice. Key elements of Sharing to Safeguard are included</w:t>
      </w:r>
      <w:r w:rsidR="00BF4DBF" w:rsidRPr="003D3634">
        <w:rPr>
          <w:rFonts w:ascii="Arial" w:hAnsi="Arial" w:cs="Arial"/>
          <w:sz w:val="24"/>
          <w:szCs w:val="24"/>
        </w:rPr>
        <w:t xml:space="preserve"> as well as j</w:t>
      </w:r>
      <w:r w:rsidR="008C6E02" w:rsidRPr="003D3634">
        <w:rPr>
          <w:rFonts w:ascii="Arial" w:hAnsi="Arial" w:cs="Arial"/>
          <w:sz w:val="24"/>
          <w:szCs w:val="24"/>
        </w:rPr>
        <w:t xml:space="preserve">udicial guidance in JR 57 on relevant considerations to be taken into account </w:t>
      </w:r>
      <w:r w:rsidR="00CA317E" w:rsidRPr="003D3634">
        <w:rPr>
          <w:rFonts w:ascii="Arial" w:hAnsi="Arial" w:cs="Arial"/>
          <w:sz w:val="24"/>
          <w:szCs w:val="24"/>
        </w:rPr>
        <w:t>regarding</w:t>
      </w:r>
      <w:r w:rsidR="008C6E02" w:rsidRPr="003D3634">
        <w:rPr>
          <w:rFonts w:ascii="Arial" w:hAnsi="Arial" w:cs="Arial"/>
          <w:sz w:val="24"/>
          <w:szCs w:val="24"/>
        </w:rPr>
        <w:t xml:space="preserve"> the sharing of information. It</w:t>
      </w:r>
      <w:r w:rsidR="00BF4DBF" w:rsidRPr="003D3634">
        <w:rPr>
          <w:rFonts w:ascii="Arial" w:hAnsi="Arial" w:cs="Arial"/>
          <w:sz w:val="24"/>
          <w:szCs w:val="24"/>
        </w:rPr>
        <w:t xml:space="preserve"> also links</w:t>
      </w:r>
      <w:r w:rsidR="008C6E02" w:rsidRPr="003D3634">
        <w:rPr>
          <w:rFonts w:ascii="Arial" w:hAnsi="Arial" w:cs="Arial"/>
          <w:sz w:val="24"/>
          <w:szCs w:val="24"/>
        </w:rPr>
        <w:t xml:space="preserve"> </w:t>
      </w:r>
      <w:r w:rsidR="00BF4DBF" w:rsidRPr="003D3634">
        <w:rPr>
          <w:rFonts w:ascii="Arial" w:hAnsi="Arial" w:cs="Arial"/>
          <w:sz w:val="24"/>
          <w:szCs w:val="24"/>
        </w:rPr>
        <w:t xml:space="preserve">with </w:t>
      </w:r>
      <w:r w:rsidR="008C6E02" w:rsidRPr="003D3634">
        <w:rPr>
          <w:rFonts w:ascii="Arial" w:hAnsi="Arial" w:cs="Arial"/>
          <w:sz w:val="24"/>
          <w:szCs w:val="24"/>
        </w:rPr>
        <w:t>the child protection disclosure scheme whic</w:t>
      </w:r>
      <w:r w:rsidR="00BF4DBF" w:rsidRPr="003D3634">
        <w:rPr>
          <w:rFonts w:ascii="Arial" w:hAnsi="Arial" w:cs="Arial"/>
          <w:sz w:val="24"/>
          <w:szCs w:val="24"/>
        </w:rPr>
        <w:t>h post-</w:t>
      </w:r>
      <w:r w:rsidR="008C6E02" w:rsidRPr="003D3634">
        <w:rPr>
          <w:rFonts w:ascii="Arial" w:hAnsi="Arial" w:cs="Arial"/>
          <w:sz w:val="24"/>
          <w:szCs w:val="24"/>
        </w:rPr>
        <w:t>dates previous guidance. Note</w:t>
      </w:r>
      <w:r w:rsidR="003D3634" w:rsidRPr="003D3634">
        <w:rPr>
          <w:rFonts w:ascii="Arial" w:hAnsi="Arial" w:cs="Arial"/>
          <w:sz w:val="24"/>
          <w:szCs w:val="24"/>
        </w:rPr>
        <w:t>:</w:t>
      </w:r>
      <w:r w:rsidR="008C6E02" w:rsidRPr="003D3634">
        <w:rPr>
          <w:rFonts w:ascii="Arial" w:hAnsi="Arial" w:cs="Arial"/>
          <w:sz w:val="24"/>
          <w:szCs w:val="24"/>
        </w:rPr>
        <w:t xml:space="preserve"> there will be fu</w:t>
      </w:r>
      <w:r w:rsidR="003D3634" w:rsidRPr="003D3634">
        <w:rPr>
          <w:rFonts w:ascii="Arial" w:hAnsi="Arial" w:cs="Arial"/>
          <w:sz w:val="24"/>
          <w:szCs w:val="24"/>
        </w:rPr>
        <w:t>r</w:t>
      </w:r>
      <w:r w:rsidR="008C6E02" w:rsidRPr="003D3634">
        <w:rPr>
          <w:rFonts w:ascii="Arial" w:hAnsi="Arial" w:cs="Arial"/>
          <w:sz w:val="24"/>
          <w:szCs w:val="24"/>
        </w:rPr>
        <w:t>ther</w:t>
      </w:r>
      <w:r w:rsidR="003D3634" w:rsidRPr="003D3634">
        <w:rPr>
          <w:rFonts w:ascii="Arial" w:hAnsi="Arial" w:cs="Arial"/>
          <w:sz w:val="24"/>
          <w:szCs w:val="24"/>
        </w:rPr>
        <w:t xml:space="preserve"> reference to this section i</w:t>
      </w:r>
      <w:r w:rsidR="008C6E02" w:rsidRPr="003D3634">
        <w:rPr>
          <w:rFonts w:ascii="Arial" w:hAnsi="Arial" w:cs="Arial"/>
          <w:sz w:val="24"/>
          <w:szCs w:val="24"/>
        </w:rPr>
        <w:t xml:space="preserve">n the revision of DoH Guidance on information sharing. </w:t>
      </w:r>
    </w:p>
    <w:p w:rsidR="00241AFC" w:rsidRPr="00241AFC" w:rsidRDefault="00241AFC" w:rsidP="008C6E0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589E" w:rsidRPr="00241AFC" w:rsidRDefault="006F589E" w:rsidP="008C6E0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F589E" w:rsidRPr="00241AF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66" w:rsidRDefault="00592366" w:rsidP="008C6E02">
      <w:pPr>
        <w:spacing w:after="0" w:line="240" w:lineRule="auto"/>
      </w:pPr>
      <w:r>
        <w:separator/>
      </w:r>
    </w:p>
  </w:endnote>
  <w:endnote w:type="continuationSeparator" w:id="0">
    <w:p w:rsidR="00592366" w:rsidRDefault="00592366" w:rsidP="008C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26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E02" w:rsidRDefault="008C6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E02" w:rsidRDefault="008C6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66" w:rsidRDefault="00592366" w:rsidP="008C6E02">
      <w:pPr>
        <w:spacing w:after="0" w:line="240" w:lineRule="auto"/>
      </w:pPr>
      <w:r>
        <w:separator/>
      </w:r>
    </w:p>
  </w:footnote>
  <w:footnote w:type="continuationSeparator" w:id="0">
    <w:p w:rsidR="00592366" w:rsidRDefault="00592366" w:rsidP="008C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36"/>
    <w:multiLevelType w:val="hybridMultilevel"/>
    <w:tmpl w:val="E68C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BE9"/>
    <w:multiLevelType w:val="hybridMultilevel"/>
    <w:tmpl w:val="DCCE8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A3CB5"/>
    <w:multiLevelType w:val="hybridMultilevel"/>
    <w:tmpl w:val="398A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EED"/>
    <w:multiLevelType w:val="hybridMultilevel"/>
    <w:tmpl w:val="4A2E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6092"/>
    <w:multiLevelType w:val="hybridMultilevel"/>
    <w:tmpl w:val="285EEACE"/>
    <w:lvl w:ilvl="0" w:tplc="85CC7B8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7D91"/>
    <w:multiLevelType w:val="hybridMultilevel"/>
    <w:tmpl w:val="EF148408"/>
    <w:lvl w:ilvl="0" w:tplc="85CC7B8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9219A"/>
    <w:multiLevelType w:val="hybridMultilevel"/>
    <w:tmpl w:val="0A9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A343D"/>
    <w:multiLevelType w:val="hybridMultilevel"/>
    <w:tmpl w:val="6E8A3D20"/>
    <w:lvl w:ilvl="0" w:tplc="85CC7B88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C"/>
    <w:rsid w:val="00012AAE"/>
    <w:rsid w:val="0004448E"/>
    <w:rsid w:val="000A45A8"/>
    <w:rsid w:val="00126EC5"/>
    <w:rsid w:val="001E18F5"/>
    <w:rsid w:val="001F2499"/>
    <w:rsid w:val="00241AFC"/>
    <w:rsid w:val="00296215"/>
    <w:rsid w:val="002A1DD1"/>
    <w:rsid w:val="002D4E01"/>
    <w:rsid w:val="003D3634"/>
    <w:rsid w:val="004143DC"/>
    <w:rsid w:val="004343BC"/>
    <w:rsid w:val="004D6E34"/>
    <w:rsid w:val="00592366"/>
    <w:rsid w:val="005F540B"/>
    <w:rsid w:val="00671A51"/>
    <w:rsid w:val="006E4F3F"/>
    <w:rsid w:val="006F589E"/>
    <w:rsid w:val="00746552"/>
    <w:rsid w:val="007D2B2A"/>
    <w:rsid w:val="00894A59"/>
    <w:rsid w:val="008C6E02"/>
    <w:rsid w:val="008E171B"/>
    <w:rsid w:val="00912169"/>
    <w:rsid w:val="0091361F"/>
    <w:rsid w:val="00967CE2"/>
    <w:rsid w:val="00A41033"/>
    <w:rsid w:val="00A51379"/>
    <w:rsid w:val="00A61322"/>
    <w:rsid w:val="00A76D62"/>
    <w:rsid w:val="00AC3B34"/>
    <w:rsid w:val="00AF384F"/>
    <w:rsid w:val="00B151D8"/>
    <w:rsid w:val="00B72FA8"/>
    <w:rsid w:val="00BF4DBF"/>
    <w:rsid w:val="00C0012E"/>
    <w:rsid w:val="00CA317E"/>
    <w:rsid w:val="00CA7427"/>
    <w:rsid w:val="00CF2156"/>
    <w:rsid w:val="00D14AC1"/>
    <w:rsid w:val="00D96467"/>
    <w:rsid w:val="00DB0D49"/>
    <w:rsid w:val="00E1712B"/>
    <w:rsid w:val="00E30C7F"/>
    <w:rsid w:val="00E329ED"/>
    <w:rsid w:val="00E3702D"/>
    <w:rsid w:val="00E37216"/>
    <w:rsid w:val="00E71808"/>
    <w:rsid w:val="00E73895"/>
    <w:rsid w:val="00EA31BC"/>
    <w:rsid w:val="00EE32BB"/>
    <w:rsid w:val="00F919F5"/>
    <w:rsid w:val="00F93CAD"/>
    <w:rsid w:val="00FF47AB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02"/>
  </w:style>
  <w:style w:type="paragraph" w:styleId="Footer">
    <w:name w:val="footer"/>
    <w:basedOn w:val="Normal"/>
    <w:link w:val="FooterChar"/>
    <w:uiPriority w:val="99"/>
    <w:unhideWhenUsed/>
    <w:rsid w:val="008C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02"/>
  </w:style>
  <w:style w:type="paragraph" w:styleId="Footer">
    <w:name w:val="footer"/>
    <w:basedOn w:val="Normal"/>
    <w:link w:val="FooterChar"/>
    <w:uiPriority w:val="99"/>
    <w:unhideWhenUsed/>
    <w:rsid w:val="008C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Burke</dc:creator>
  <cp:lastModifiedBy>Margaret Burke</cp:lastModifiedBy>
  <cp:revision>2</cp:revision>
  <cp:lastPrinted>2017-11-02T12:03:00Z</cp:lastPrinted>
  <dcterms:created xsi:type="dcterms:W3CDTF">2017-12-14T16:07:00Z</dcterms:created>
  <dcterms:modified xsi:type="dcterms:W3CDTF">2017-12-14T16:07:00Z</dcterms:modified>
</cp:coreProperties>
</file>