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4B" w:rsidRDefault="0087304B" w:rsidP="0087304B">
      <w:pPr>
        <w:spacing w:before="100" w:beforeAutospacing="1"/>
        <w:rPr>
          <w:rFonts w:cs="Arial"/>
          <w:b/>
          <w:bCs/>
          <w:sz w:val="40"/>
        </w:rPr>
      </w:pPr>
      <w:r>
        <w:rPr>
          <w:rFonts w:cs="Arial"/>
          <w:noProof/>
          <w:color w:val="000000"/>
          <w:lang w:eastAsia="en-GB"/>
        </w:rPr>
        <w:drawing>
          <wp:anchor distT="0" distB="0" distL="114300" distR="114300" simplePos="0" relativeHeight="251659264" behindDoc="1" locked="0" layoutInCell="1" allowOverlap="1" wp14:anchorId="4D2A6946" wp14:editId="6F157B48">
            <wp:simplePos x="0" y="0"/>
            <wp:positionH relativeFrom="column">
              <wp:posOffset>2907030</wp:posOffset>
            </wp:positionH>
            <wp:positionV relativeFrom="paragraph">
              <wp:posOffset>-247650</wp:posOffset>
            </wp:positionV>
            <wp:extent cx="2514600" cy="981075"/>
            <wp:effectExtent l="0" t="0" r="0" b="9525"/>
            <wp:wrapSquare wrapText="bothSides"/>
            <wp:docPr id="4" name="Picture 4" descr="Safeguard_Colour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_Colour_Letterhead_Final"/>
                    <pic:cNvPicPr>
                      <a:picLocks noChangeAspect="1" noChangeArrowheads="1"/>
                    </pic:cNvPicPr>
                  </pic:nvPicPr>
                  <pic:blipFill>
                    <a:blip r:embed="rId9" cstate="print"/>
                    <a:srcRect l="8440" t="37338" r="59335" b="10300"/>
                    <a:stretch>
                      <a:fillRect/>
                    </a:stretch>
                  </pic:blipFill>
                  <pic:spPr bwMode="auto">
                    <a:xfrm>
                      <a:off x="0" y="0"/>
                      <a:ext cx="2514600" cy="981075"/>
                    </a:xfrm>
                    <a:prstGeom prst="rect">
                      <a:avLst/>
                    </a:prstGeom>
                    <a:noFill/>
                  </pic:spPr>
                </pic:pic>
              </a:graphicData>
            </a:graphic>
          </wp:anchor>
        </w:drawing>
      </w:r>
    </w:p>
    <w:p w:rsidR="0087304B" w:rsidRDefault="0087304B" w:rsidP="003C678A">
      <w:pPr>
        <w:spacing w:before="100" w:beforeAutospacing="1"/>
        <w:jc w:val="right"/>
      </w:pPr>
    </w:p>
    <w:p w:rsidR="0087304B" w:rsidRDefault="0087304B" w:rsidP="0087304B">
      <w:pPr>
        <w:spacing w:before="100" w:beforeAutospacing="1"/>
        <w:rPr>
          <w:sz w:val="48"/>
          <w:szCs w:val="48"/>
        </w:rPr>
      </w:pPr>
      <w:r w:rsidRPr="00E4242D">
        <w:rPr>
          <w:sz w:val="48"/>
          <w:szCs w:val="48"/>
        </w:rPr>
        <w:t>Equality and Human Rights</w:t>
      </w:r>
      <w:r w:rsidRPr="00E4242D">
        <w:rPr>
          <w:sz w:val="48"/>
          <w:szCs w:val="48"/>
        </w:rPr>
        <w:br/>
        <w:t>Screening Template</w:t>
      </w:r>
    </w:p>
    <w:p w:rsidR="0087304B" w:rsidRDefault="0087304B" w:rsidP="0087304B">
      <w:pPr>
        <w:autoSpaceDE w:val="0"/>
        <w:autoSpaceDN w:val="0"/>
        <w:adjustRightInd w:val="0"/>
        <w:spacing w:after="0"/>
        <w:ind w:right="26"/>
        <w:rPr>
          <w:rFonts w:cs="Arial"/>
        </w:rPr>
      </w:pPr>
      <w:r>
        <w:rPr>
          <w:rFonts w:cs="Arial"/>
        </w:rPr>
        <w:t xml:space="preserve">The </w:t>
      </w:r>
      <w:r>
        <w:t>Safeguarding Board for Northern Ireland (SBNI) i</w:t>
      </w:r>
      <w:r>
        <w:rPr>
          <w:rFonts w:cs="Arial"/>
        </w:rPr>
        <w:t>s required to address the 4 questions below in relation to all its policies. This template sets out a proforma to document consideration of each question.</w:t>
      </w:r>
    </w:p>
    <w:p w:rsidR="0087304B" w:rsidRPr="008556B2" w:rsidRDefault="0087304B" w:rsidP="0087304B">
      <w:pPr>
        <w:autoSpaceDE w:val="0"/>
        <w:autoSpaceDN w:val="0"/>
        <w:adjustRightInd w:val="0"/>
        <w:spacing w:after="0"/>
        <w:ind w:right="26"/>
        <w:rPr>
          <w:rFonts w:cs="Arial"/>
        </w:rPr>
      </w:pPr>
    </w:p>
    <w:p w:rsidR="0087304B" w:rsidRPr="00E4242D" w:rsidRDefault="009A0DA0" w:rsidP="0087304B">
      <w:pPr>
        <w:autoSpaceDE w:val="0"/>
        <w:autoSpaceDN w:val="0"/>
        <w:adjustRightInd w:val="0"/>
        <w:spacing w:after="0"/>
        <w:ind w:right="26"/>
        <w:rPr>
          <w:rFonts w:cs="Arial"/>
        </w:rPr>
      </w:pPr>
      <w:r>
        <w:rPr>
          <w:rFonts w:cs="Arial"/>
          <w:noProof/>
          <w:lang w:eastAsia="en-GB"/>
        </w:rPr>
        <mc:AlternateContent>
          <mc:Choice Requires="wpc">
            <w:drawing>
              <wp:inline distT="0" distB="0" distL="0" distR="0" wp14:anchorId="26277A69" wp14:editId="538FCE5B">
                <wp:extent cx="5245100" cy="3387090"/>
                <wp:effectExtent l="0" t="0" r="12700" b="2286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95B8"/>
                        </a:solidFill>
                      </wpc:bg>
                      <wpc:whole>
                        <a:ln>
                          <a:noFill/>
                        </a:ln>
                      </wpc:whole>
                      <wps:wsp>
                        <wps:cNvPr id="2" name="Text Box 4"/>
                        <wps:cNvSpPr txBox="1">
                          <a:spLocks noChangeArrowheads="1"/>
                        </wps:cNvSpPr>
                        <wps:spPr bwMode="auto">
                          <a:xfrm>
                            <a:off x="0" y="0"/>
                            <a:ext cx="5245100" cy="338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95B8"/>
                                </a:solidFill>
                              </a14:hiddenFill>
                            </a:ext>
                          </a:extLst>
                        </wps:spPr>
                        <wps:txbx>
                          <w:txbxContent>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rsidR="00E81E4E" w:rsidRPr="00305E0F" w:rsidRDefault="00E81E4E"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13pt;height:266.7pt;mso-position-horizontal-relative:char;mso-position-vertical-relative:line" coordsize="52451,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51;height:33870;visibility:visible;mso-wrap-style:square" filled="t" fillcolor="#0095b8">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2451;height:3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VjsMA&#10;AADaAAAADwAAAGRycy9kb3ducmV2LnhtbESPT4vCMBTE7wt+h/AEL4umetiVaixVEFZ0D1Yv3h7N&#10;6x9sXkqT1frtN4LgcZiZ3zDLpDeNuFHnassKppMIBHFudc2lgvNpO56DcB5ZY2OZFDzIQbIafCwx&#10;1vbOR7plvhQBwi5GBZX3bSylyysy6Ca2JQ5eYTuDPsiulLrDe4CbRs6i6EsarDksVNjSpqL8mv0Z&#10;BbvPdDe/uHW2338XxeF3vWUqpkqNhn26AOGp9+/wq/2jFczgeSXc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8VjsMAAADaAAAADwAAAAAAAAAAAAAAAACYAgAAZHJzL2Rv&#10;d25yZXYueG1sUEsFBgAAAAAEAAQA9QAAAIgDAAAAAA==&#10;" filled="f" fillcolor="#0095b8">
                  <v:textbox>
                    <w:txbxContent>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E81E4E" w:rsidRPr="00305E0F" w:rsidRDefault="00E81E4E" w:rsidP="0087304B">
                        <w:pPr>
                          <w:autoSpaceDE w:val="0"/>
                          <w:autoSpaceDN w:val="0"/>
                          <w:adjustRightInd w:val="0"/>
                          <w:spacing w:after="0"/>
                          <w:ind w:right="26"/>
                          <w:rPr>
                            <w:rFonts w:cs="Arial"/>
                            <w:color w:val="FFFFFF"/>
                          </w:rPr>
                        </w:pPr>
                      </w:p>
                      <w:p w:rsidR="00E81E4E" w:rsidRPr="00305E0F" w:rsidRDefault="00E81E4E"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rsidR="00E81E4E" w:rsidRPr="00305E0F" w:rsidRDefault="00E81E4E"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v:textbox>
                </v:shape>
                <w10:anchorlock/>
              </v:group>
            </w:pict>
          </mc:Fallback>
        </mc:AlternateContent>
      </w:r>
    </w:p>
    <w:p w:rsidR="0087304B" w:rsidRPr="00E4242D" w:rsidRDefault="0087304B" w:rsidP="0087304B">
      <w:pPr>
        <w:spacing w:before="100" w:beforeAutospacing="1"/>
      </w:pPr>
      <w:r>
        <w:t>For advice &amp; support on screening contact:</w:t>
      </w:r>
    </w:p>
    <w:p w:rsidR="0087304B" w:rsidRDefault="0087304B" w:rsidP="0087304B">
      <w:pPr>
        <w:pStyle w:val="Header"/>
        <w:tabs>
          <w:tab w:val="clear" w:pos="4153"/>
          <w:tab w:val="clear" w:pos="8306"/>
        </w:tabs>
        <w:spacing w:after="0"/>
      </w:pPr>
      <w:r>
        <w:t>Anne Basten</w:t>
      </w:r>
    </w:p>
    <w:p w:rsidR="0087304B" w:rsidRDefault="0087304B" w:rsidP="0087304B">
      <w:pPr>
        <w:pStyle w:val="Header"/>
        <w:tabs>
          <w:tab w:val="clear" w:pos="4153"/>
          <w:tab w:val="clear" w:pos="8306"/>
        </w:tabs>
        <w:spacing w:after="0"/>
      </w:pPr>
      <w:r>
        <w:t>Equality Unit</w:t>
      </w:r>
    </w:p>
    <w:p w:rsidR="0087304B" w:rsidRDefault="0087304B" w:rsidP="0087304B">
      <w:pPr>
        <w:pStyle w:val="Header"/>
        <w:tabs>
          <w:tab w:val="clear" w:pos="4153"/>
          <w:tab w:val="clear" w:pos="8306"/>
        </w:tabs>
        <w:spacing w:after="0"/>
      </w:pPr>
      <w:r>
        <w:t>Business Services Organisation</w:t>
      </w:r>
    </w:p>
    <w:p w:rsidR="0087304B" w:rsidRDefault="0087304B" w:rsidP="0087304B">
      <w:pPr>
        <w:pStyle w:val="Header"/>
        <w:tabs>
          <w:tab w:val="clear" w:pos="4153"/>
          <w:tab w:val="clear" w:pos="8306"/>
        </w:tabs>
        <w:spacing w:after="0"/>
      </w:pPr>
      <w:r>
        <w:t>2 Franklin Street</w:t>
      </w:r>
    </w:p>
    <w:p w:rsidR="0087304B" w:rsidRDefault="0087304B" w:rsidP="0087304B">
      <w:pPr>
        <w:pStyle w:val="Header"/>
        <w:tabs>
          <w:tab w:val="clear" w:pos="4153"/>
          <w:tab w:val="clear" w:pos="8306"/>
        </w:tabs>
        <w:spacing w:after="0"/>
      </w:pPr>
      <w:r>
        <w:t>Belfast BT2 8DQ</w:t>
      </w:r>
    </w:p>
    <w:p w:rsidR="0087304B" w:rsidRDefault="0087304B" w:rsidP="0087304B">
      <w:pPr>
        <w:pStyle w:val="Header"/>
        <w:tabs>
          <w:tab w:val="clear" w:pos="4153"/>
          <w:tab w:val="clear" w:pos="8306"/>
        </w:tabs>
        <w:spacing w:after="0"/>
      </w:pPr>
      <w:r>
        <w:t>028 90535564</w:t>
      </w:r>
    </w:p>
    <w:p w:rsidR="0087304B" w:rsidRDefault="0087304B" w:rsidP="0087304B">
      <w:pPr>
        <w:pStyle w:val="Header"/>
        <w:tabs>
          <w:tab w:val="clear" w:pos="4153"/>
          <w:tab w:val="clear" w:pos="8306"/>
        </w:tabs>
        <w:spacing w:after="0"/>
      </w:pPr>
      <w:r>
        <w:t xml:space="preserve">email: </w:t>
      </w:r>
      <w:hyperlink r:id="rId10" w:history="1">
        <w:r w:rsidRPr="00CF4F9F">
          <w:rPr>
            <w:rStyle w:val="Hyperlink"/>
          </w:rPr>
          <w:t>Anne.Basten@hscni.net</w:t>
        </w:r>
      </w:hyperlink>
    </w:p>
    <w:p w:rsidR="0087304B" w:rsidRDefault="0087304B" w:rsidP="0087304B">
      <w:pPr>
        <w:pStyle w:val="Header"/>
        <w:tabs>
          <w:tab w:val="clear" w:pos="4153"/>
          <w:tab w:val="clear" w:pos="8306"/>
        </w:tabs>
        <w:spacing w:before="2880"/>
        <w:sectPr w:rsidR="0087304B" w:rsidSect="002C715A">
          <w:headerReference w:type="default" r:id="rId11"/>
          <w:footerReference w:type="even" r:id="rId12"/>
          <w:footerReference w:type="default" r:id="rId13"/>
          <w:pgSz w:w="11907" w:h="16840" w:code="9"/>
          <w:pgMar w:top="1440" w:right="1797" w:bottom="1440" w:left="1797" w:header="720" w:footer="720" w:gutter="0"/>
          <w:cols w:space="720"/>
          <w:docGrid w:linePitch="360"/>
        </w:sectPr>
      </w:pPr>
    </w:p>
    <w:p w:rsidR="0087304B" w:rsidRPr="003E0C55" w:rsidRDefault="0087304B" w:rsidP="003E0C55">
      <w:pPr>
        <w:jc w:val="both"/>
        <w:rPr>
          <w:rFonts w:cs="Arial"/>
          <w:b/>
          <w:sz w:val="24"/>
        </w:rPr>
      </w:pPr>
      <w:r w:rsidRPr="003E0C55">
        <w:rPr>
          <w:rFonts w:cs="Arial"/>
          <w:b/>
          <w:sz w:val="24"/>
        </w:rPr>
        <w:lastRenderedPageBreak/>
        <w:t>SCREENING TEMPLATE</w:t>
      </w:r>
    </w:p>
    <w:p w:rsidR="0087304B" w:rsidRPr="003E0C55" w:rsidRDefault="0087304B" w:rsidP="003E0C55">
      <w:pPr>
        <w:spacing w:after="0"/>
        <w:jc w:val="both"/>
        <w:rPr>
          <w:rFonts w:cs="Arial"/>
          <w:sz w:val="24"/>
        </w:rPr>
      </w:pPr>
      <w:r w:rsidRPr="003E0C55">
        <w:rPr>
          <w:rFonts w:cs="Arial"/>
          <w:sz w:val="24"/>
        </w:rPr>
        <w:t xml:space="preserve">See </w:t>
      </w:r>
      <w:hyperlink w:anchor="Guidnotes" w:history="1">
        <w:r w:rsidRPr="003E0C55">
          <w:rPr>
            <w:rStyle w:val="Hyperlink"/>
            <w:rFonts w:cs="Arial"/>
            <w:sz w:val="24"/>
          </w:rPr>
          <w:t>Guidance Notes</w:t>
        </w:r>
      </w:hyperlink>
      <w:r w:rsidRPr="003E0C55">
        <w:rPr>
          <w:rFonts w:cs="Arial"/>
          <w:sz w:val="24"/>
        </w:rPr>
        <w:t xml:space="preserve"> for further information on the ‘why’ ‘what’ ‘when’, and ‘who’ in relation to screening, for background information on the relevant legislation and for help in answering</w:t>
      </w:r>
      <w:r w:rsidR="00471AEF" w:rsidRPr="003E0C55">
        <w:rPr>
          <w:rFonts w:cs="Arial"/>
          <w:sz w:val="24"/>
        </w:rPr>
        <w:t xml:space="preserve"> the questions on this template</w:t>
      </w:r>
      <w:r w:rsidRPr="003E0C55">
        <w:rPr>
          <w:rFonts w:cs="Arial"/>
          <w:sz w:val="24"/>
        </w:rPr>
        <w:t>.</w:t>
      </w: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sz w:val="24"/>
        </w:rPr>
      </w:pPr>
      <w:r w:rsidRPr="003E0C55">
        <w:rPr>
          <w:rFonts w:cs="Arial"/>
          <w:b/>
          <w:bCs/>
          <w:sz w:val="24"/>
        </w:rPr>
        <w:t>(1)</w:t>
      </w:r>
      <w:r w:rsidRPr="003E0C55">
        <w:rPr>
          <w:rFonts w:cs="Arial"/>
          <w:b/>
          <w:bCs/>
          <w:sz w:val="24"/>
        </w:rPr>
        <w:tab/>
        <w:t>INFORMATION ABOUT THE POLICY OR DECISION</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7304B" w:rsidRPr="003E0C55" w:rsidTr="002C715A">
        <w:tc>
          <w:tcPr>
            <w:tcW w:w="13408" w:type="dxa"/>
          </w:tcPr>
          <w:p w:rsidR="0087304B" w:rsidRPr="003E0C55" w:rsidRDefault="002742AD" w:rsidP="003E0C55">
            <w:pPr>
              <w:jc w:val="both"/>
              <w:rPr>
                <w:rFonts w:cs="Arial"/>
                <w:b/>
                <w:sz w:val="24"/>
              </w:rPr>
            </w:pPr>
            <w:hyperlink w:anchor="oneone" w:history="1">
              <w:r w:rsidR="0087304B" w:rsidRPr="003E0C55">
                <w:rPr>
                  <w:rFonts w:cs="Arial"/>
                  <w:b/>
                  <w:sz w:val="24"/>
                </w:rPr>
                <w:t>1.1</w:t>
              </w:r>
              <w:r w:rsidR="0087304B" w:rsidRPr="003E0C55">
                <w:rPr>
                  <w:rFonts w:cs="Arial"/>
                  <w:b/>
                  <w:sz w:val="24"/>
                </w:rPr>
                <w:tab/>
                <w:t>Title of policy or decision</w:t>
              </w:r>
            </w:hyperlink>
          </w:p>
          <w:p w:rsidR="00BF6E29" w:rsidRDefault="00AC0A2B" w:rsidP="00BF6E29">
            <w:pPr>
              <w:spacing w:after="0"/>
              <w:jc w:val="center"/>
              <w:rPr>
                <w:rFonts w:cs="Arial"/>
                <w:sz w:val="24"/>
              </w:rPr>
            </w:pPr>
            <w:r>
              <w:rPr>
                <w:rFonts w:cs="Arial"/>
                <w:sz w:val="24"/>
              </w:rPr>
              <w:t>The Safeguarding Board for Northern Ireland</w:t>
            </w:r>
            <w:r w:rsidR="00BF680C">
              <w:rPr>
                <w:rFonts w:cs="Arial"/>
                <w:sz w:val="24"/>
              </w:rPr>
              <w:t>’s</w:t>
            </w:r>
            <w:r>
              <w:rPr>
                <w:rFonts w:cs="Arial"/>
                <w:sz w:val="24"/>
              </w:rPr>
              <w:t xml:space="preserve"> Strategy </w:t>
            </w:r>
          </w:p>
          <w:p w:rsidR="00E25C41" w:rsidRDefault="00AC0A2B" w:rsidP="00BF6E29">
            <w:pPr>
              <w:spacing w:after="0"/>
              <w:jc w:val="center"/>
              <w:rPr>
                <w:rFonts w:cs="Arial"/>
                <w:sz w:val="24"/>
              </w:rPr>
            </w:pPr>
            <w:r>
              <w:rPr>
                <w:rFonts w:cs="Arial"/>
                <w:sz w:val="24"/>
              </w:rPr>
              <w:t>for Engaging with Children and Young People</w:t>
            </w:r>
            <w:r w:rsidR="00BF6E29">
              <w:rPr>
                <w:rFonts w:cs="Arial"/>
                <w:sz w:val="24"/>
              </w:rPr>
              <w:t xml:space="preserve"> 2021-2023</w:t>
            </w:r>
          </w:p>
          <w:p w:rsidR="00AC0A2B" w:rsidRPr="003E0C55" w:rsidRDefault="00AC0A2B" w:rsidP="003E0C55">
            <w:pPr>
              <w:spacing w:after="0"/>
              <w:jc w:val="both"/>
              <w:rPr>
                <w:rFonts w:cs="Arial"/>
                <w:sz w:val="24"/>
              </w:rPr>
            </w:pPr>
          </w:p>
        </w:tc>
      </w:tr>
    </w:tbl>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7304B" w:rsidRPr="003E0C55" w:rsidTr="00B17BDD">
        <w:tc>
          <w:tcPr>
            <w:tcW w:w="9242" w:type="dxa"/>
          </w:tcPr>
          <w:p w:rsidR="0087304B" w:rsidRPr="003E0C55" w:rsidRDefault="0087304B" w:rsidP="003E0C55">
            <w:pPr>
              <w:jc w:val="both"/>
              <w:rPr>
                <w:rFonts w:cs="Arial"/>
                <w:b/>
                <w:sz w:val="24"/>
              </w:rPr>
            </w:pPr>
            <w:r w:rsidRPr="003E0C55">
              <w:rPr>
                <w:rFonts w:cs="Arial"/>
                <w:b/>
                <w:sz w:val="24"/>
              </w:rPr>
              <w:t>1.2</w:t>
            </w:r>
            <w:r w:rsidRPr="003E0C55">
              <w:rPr>
                <w:rFonts w:cs="Arial"/>
                <w:b/>
                <w:sz w:val="24"/>
              </w:rPr>
              <w:tab/>
              <w:t>Description of policy or decision</w:t>
            </w:r>
          </w:p>
          <w:p w:rsidR="00693D8A" w:rsidRDefault="00693D8A" w:rsidP="003E0C55">
            <w:pPr>
              <w:spacing w:after="0"/>
              <w:jc w:val="both"/>
              <w:rPr>
                <w:rFonts w:eastAsiaTheme="minorHAnsi" w:cs="Arial"/>
                <w:bCs/>
                <w:sz w:val="24"/>
              </w:rPr>
            </w:pPr>
            <w:r w:rsidRPr="00693D8A">
              <w:rPr>
                <w:rFonts w:eastAsiaTheme="minorHAnsi" w:cs="Arial"/>
                <w:bCs/>
                <w:sz w:val="24"/>
              </w:rPr>
              <w:t>The Safeguarding Board for Northern Ireland (SBNI) was set up under the Safeguarding Board Act (NI) 2011 and is the statutory body responsible for coordinating and ensu</w:t>
            </w:r>
            <w:r w:rsidR="00B26F24">
              <w:rPr>
                <w:rFonts w:eastAsiaTheme="minorHAnsi" w:cs="Arial"/>
                <w:bCs/>
                <w:sz w:val="24"/>
              </w:rPr>
              <w:t>ring the effectiveness of its 21 member bodie</w:t>
            </w:r>
            <w:r w:rsidRPr="00693D8A">
              <w:rPr>
                <w:rFonts w:eastAsiaTheme="minorHAnsi" w:cs="Arial"/>
                <w:bCs/>
                <w:sz w:val="24"/>
              </w:rPr>
              <w:t>s</w:t>
            </w:r>
            <w:r w:rsidR="00B26F24">
              <w:rPr>
                <w:rFonts w:eastAsiaTheme="minorHAnsi" w:cs="Arial"/>
                <w:bCs/>
                <w:sz w:val="24"/>
              </w:rPr>
              <w:t xml:space="preserve"> and its six independent persons</w:t>
            </w:r>
            <w:r w:rsidRPr="00693D8A">
              <w:rPr>
                <w:rFonts w:eastAsiaTheme="minorHAnsi" w:cs="Arial"/>
                <w:bCs/>
                <w:sz w:val="24"/>
              </w:rPr>
              <w:t>.</w:t>
            </w:r>
            <w:r w:rsidR="00F34E08">
              <w:rPr>
                <w:rFonts w:eastAsiaTheme="minorHAnsi" w:cs="Arial"/>
                <w:bCs/>
                <w:sz w:val="24"/>
              </w:rPr>
              <w:t xml:space="preserve"> It is the key strategic leadership and management organisation for </w:t>
            </w:r>
            <w:r w:rsidR="00F34E08" w:rsidRPr="00693D8A">
              <w:rPr>
                <w:rFonts w:eastAsiaTheme="minorHAnsi" w:cs="Arial"/>
                <w:bCs/>
                <w:sz w:val="24"/>
              </w:rPr>
              <w:t>safeguarding and promoting the welfare of children and young people in N</w:t>
            </w:r>
            <w:r w:rsidR="00F34E08">
              <w:rPr>
                <w:rFonts w:eastAsiaTheme="minorHAnsi" w:cs="Arial"/>
                <w:bCs/>
                <w:sz w:val="24"/>
              </w:rPr>
              <w:t xml:space="preserve">orthern </w:t>
            </w:r>
            <w:r w:rsidR="00F34E08" w:rsidRPr="00693D8A">
              <w:rPr>
                <w:rFonts w:eastAsiaTheme="minorHAnsi" w:cs="Arial"/>
                <w:bCs/>
                <w:sz w:val="24"/>
              </w:rPr>
              <w:t>I</w:t>
            </w:r>
            <w:r w:rsidR="00F34E08">
              <w:rPr>
                <w:rFonts w:eastAsiaTheme="minorHAnsi" w:cs="Arial"/>
                <w:bCs/>
                <w:sz w:val="24"/>
              </w:rPr>
              <w:t>reland.</w:t>
            </w:r>
          </w:p>
          <w:p w:rsidR="00693D8A" w:rsidRDefault="00693D8A" w:rsidP="003E0C55">
            <w:pPr>
              <w:spacing w:after="0"/>
              <w:jc w:val="both"/>
              <w:rPr>
                <w:rFonts w:eastAsiaTheme="minorHAnsi" w:cs="Arial"/>
                <w:bCs/>
                <w:sz w:val="24"/>
              </w:rPr>
            </w:pPr>
          </w:p>
          <w:p w:rsidR="00EE0C45" w:rsidRDefault="00693D8A" w:rsidP="003E0C55">
            <w:pPr>
              <w:spacing w:after="0"/>
              <w:jc w:val="both"/>
              <w:rPr>
                <w:rFonts w:eastAsiaTheme="minorHAnsi" w:cs="Arial"/>
                <w:bCs/>
                <w:sz w:val="24"/>
              </w:rPr>
            </w:pPr>
            <w:r w:rsidRPr="00693D8A">
              <w:rPr>
                <w:rFonts w:eastAsiaTheme="minorHAnsi" w:cs="Arial"/>
                <w:bCs/>
                <w:sz w:val="24"/>
              </w:rPr>
              <w:t xml:space="preserve">The SBNI is a partnership organisation consisting of the key statutory and voluntary agencies </w:t>
            </w:r>
            <w:r w:rsidR="00EE0C45">
              <w:rPr>
                <w:rFonts w:eastAsiaTheme="minorHAnsi" w:cs="Arial"/>
                <w:bCs/>
                <w:sz w:val="24"/>
              </w:rPr>
              <w:t xml:space="preserve">and appointed independent persons </w:t>
            </w:r>
            <w:r w:rsidRPr="00693D8A">
              <w:rPr>
                <w:rFonts w:eastAsiaTheme="minorHAnsi" w:cs="Arial"/>
                <w:bCs/>
                <w:sz w:val="24"/>
              </w:rPr>
              <w:t xml:space="preserve">that operate and resource the safeguarding and child protection system in Northern Ireland. </w:t>
            </w:r>
          </w:p>
          <w:p w:rsidR="00EE0C45" w:rsidRDefault="00EE0C45" w:rsidP="003E0C55">
            <w:pPr>
              <w:spacing w:after="0"/>
              <w:jc w:val="both"/>
              <w:rPr>
                <w:rFonts w:eastAsiaTheme="minorHAnsi" w:cs="Arial"/>
                <w:bCs/>
                <w:sz w:val="24"/>
              </w:rPr>
            </w:pPr>
          </w:p>
          <w:p w:rsidR="00EE0C45" w:rsidRDefault="00C23886" w:rsidP="003E0C55">
            <w:pPr>
              <w:spacing w:after="0"/>
              <w:jc w:val="both"/>
              <w:rPr>
                <w:rFonts w:eastAsiaTheme="minorHAnsi" w:cs="Arial"/>
                <w:bCs/>
                <w:sz w:val="24"/>
              </w:rPr>
            </w:pPr>
            <w:r>
              <w:rPr>
                <w:rFonts w:eastAsiaTheme="minorHAnsi" w:cs="Arial"/>
                <w:bCs/>
                <w:sz w:val="24"/>
              </w:rPr>
              <w:t>The SBNI Independent Chair, s</w:t>
            </w:r>
            <w:r w:rsidR="00EE0C45">
              <w:rPr>
                <w:rFonts w:eastAsiaTheme="minorHAnsi" w:cs="Arial"/>
                <w:bCs/>
                <w:sz w:val="24"/>
              </w:rPr>
              <w:t>enior representatives from the 21 member bodies</w:t>
            </w:r>
            <w:r w:rsidR="00693D8A" w:rsidRPr="00693D8A">
              <w:rPr>
                <w:rFonts w:eastAsiaTheme="minorHAnsi" w:cs="Arial"/>
                <w:bCs/>
                <w:sz w:val="24"/>
              </w:rPr>
              <w:t xml:space="preserve"> </w:t>
            </w:r>
            <w:r w:rsidR="00EE0C45">
              <w:rPr>
                <w:rFonts w:eastAsiaTheme="minorHAnsi" w:cs="Arial"/>
                <w:bCs/>
                <w:sz w:val="24"/>
              </w:rPr>
              <w:t xml:space="preserve">and </w:t>
            </w:r>
            <w:r>
              <w:rPr>
                <w:rFonts w:eastAsiaTheme="minorHAnsi" w:cs="Arial"/>
                <w:bCs/>
                <w:sz w:val="24"/>
              </w:rPr>
              <w:t>the five</w:t>
            </w:r>
            <w:r w:rsidR="00EE0C45">
              <w:rPr>
                <w:rFonts w:eastAsiaTheme="minorHAnsi" w:cs="Arial"/>
                <w:bCs/>
                <w:sz w:val="24"/>
              </w:rPr>
              <w:t xml:space="preserve"> independent persons </w:t>
            </w:r>
            <w:r w:rsidR="00693D8A" w:rsidRPr="00693D8A">
              <w:rPr>
                <w:rFonts w:eastAsiaTheme="minorHAnsi" w:cs="Arial"/>
                <w:bCs/>
                <w:sz w:val="24"/>
              </w:rPr>
              <w:t xml:space="preserve">are members of the Board of the SBNI.  </w:t>
            </w:r>
            <w:r w:rsidR="00EE0C45">
              <w:rPr>
                <w:rFonts w:eastAsiaTheme="minorHAnsi" w:cs="Arial"/>
                <w:bCs/>
                <w:sz w:val="24"/>
              </w:rPr>
              <w:t>The independent persons are the SBNI Independent Chair, the Case Management Review Panel Chair, two Safeguarding Panel Chairs and two Independent Lay Persons.</w:t>
            </w:r>
          </w:p>
          <w:p w:rsidR="00A317BF" w:rsidRDefault="00A317BF" w:rsidP="003E0C55">
            <w:pPr>
              <w:spacing w:after="0"/>
              <w:jc w:val="both"/>
              <w:rPr>
                <w:rFonts w:eastAsiaTheme="minorHAnsi" w:cs="Arial"/>
                <w:bCs/>
                <w:sz w:val="24"/>
              </w:rPr>
            </w:pPr>
          </w:p>
          <w:p w:rsidR="00A317BF" w:rsidRDefault="00A317BF" w:rsidP="003E0C55">
            <w:pPr>
              <w:spacing w:after="0"/>
              <w:jc w:val="both"/>
              <w:rPr>
                <w:rFonts w:eastAsiaTheme="minorHAnsi" w:cs="Arial"/>
                <w:bCs/>
                <w:sz w:val="24"/>
              </w:rPr>
            </w:pPr>
            <w:r w:rsidRPr="00A317BF">
              <w:rPr>
                <w:rFonts w:eastAsiaTheme="minorHAnsi" w:cs="Arial"/>
                <w:bCs/>
                <w:sz w:val="24"/>
              </w:rPr>
              <w:t>Additionally, other partner organisations involved in safeguarding and child protection in Northern Ireland are represented on the various statutory and non-statutory committees and sub-groups that support the Board in its work.</w:t>
            </w:r>
          </w:p>
          <w:p w:rsidR="00EE0C45" w:rsidRDefault="00EE0C45" w:rsidP="003E0C55">
            <w:pPr>
              <w:spacing w:after="0"/>
              <w:jc w:val="both"/>
              <w:rPr>
                <w:rFonts w:eastAsiaTheme="minorHAnsi" w:cs="Arial"/>
                <w:bCs/>
                <w:sz w:val="24"/>
              </w:rPr>
            </w:pPr>
          </w:p>
          <w:p w:rsidR="00693D8A" w:rsidRDefault="00693D8A" w:rsidP="003E0C55">
            <w:pPr>
              <w:spacing w:after="0"/>
              <w:jc w:val="both"/>
              <w:rPr>
                <w:rFonts w:eastAsiaTheme="minorHAnsi" w:cs="Arial"/>
                <w:bCs/>
                <w:sz w:val="24"/>
              </w:rPr>
            </w:pPr>
            <w:r w:rsidRPr="00693D8A">
              <w:rPr>
                <w:rFonts w:eastAsiaTheme="minorHAnsi" w:cs="Arial"/>
                <w:bCs/>
                <w:sz w:val="24"/>
              </w:rPr>
              <w:t xml:space="preserve">The Board is supported in its aims and priorities by a small SBNI Central Support Team.  For more details on the SBNI see:  </w:t>
            </w:r>
            <w:hyperlink r:id="rId14" w:history="1">
              <w:r w:rsidRPr="00B7739C">
                <w:rPr>
                  <w:rStyle w:val="Hyperlink"/>
                  <w:rFonts w:eastAsiaTheme="minorHAnsi" w:cs="Arial"/>
                  <w:bCs/>
                  <w:sz w:val="24"/>
                </w:rPr>
                <w:t>www.safeguardingni.org</w:t>
              </w:r>
            </w:hyperlink>
          </w:p>
          <w:p w:rsidR="00693D8A" w:rsidRDefault="00693D8A" w:rsidP="003E0C55">
            <w:pPr>
              <w:spacing w:after="0"/>
              <w:jc w:val="both"/>
              <w:rPr>
                <w:rFonts w:eastAsiaTheme="minorHAnsi" w:cs="Arial"/>
                <w:bCs/>
                <w:sz w:val="24"/>
              </w:rPr>
            </w:pPr>
          </w:p>
          <w:p w:rsidR="00693D8A" w:rsidRDefault="00693D8A" w:rsidP="00693D8A">
            <w:pPr>
              <w:spacing w:after="0"/>
              <w:jc w:val="both"/>
              <w:rPr>
                <w:rFonts w:eastAsiaTheme="minorHAnsi" w:cs="Arial"/>
                <w:bCs/>
                <w:sz w:val="24"/>
              </w:rPr>
            </w:pPr>
            <w:r w:rsidRPr="00693D8A">
              <w:rPr>
                <w:rFonts w:eastAsiaTheme="minorHAnsi" w:cs="Arial"/>
                <w:bCs/>
                <w:sz w:val="24"/>
              </w:rPr>
              <w:t>The primary responsibility of the SBNI is to protect children and young people from risk and harm and ensure that effective work to protect children and young peo</w:t>
            </w:r>
            <w:r>
              <w:rPr>
                <w:rFonts w:eastAsiaTheme="minorHAnsi" w:cs="Arial"/>
                <w:bCs/>
                <w:sz w:val="24"/>
              </w:rPr>
              <w:t xml:space="preserve">ple is properly coordinated.  </w:t>
            </w:r>
            <w:r w:rsidRPr="00693D8A">
              <w:rPr>
                <w:rFonts w:eastAsiaTheme="minorHAnsi" w:cs="Arial"/>
                <w:bCs/>
                <w:sz w:val="24"/>
              </w:rPr>
              <w:t>To assist in the achievement of this end, the SBNI is statutorily required to promote communication between the SBNI Board and children and young people for the purposes of safeguarding and promoting the welfare of children a</w:t>
            </w:r>
            <w:r>
              <w:rPr>
                <w:rFonts w:eastAsiaTheme="minorHAnsi" w:cs="Arial"/>
                <w:bCs/>
                <w:sz w:val="24"/>
              </w:rPr>
              <w:t xml:space="preserve">nd young people.  </w:t>
            </w:r>
            <w:r w:rsidRPr="00693D8A">
              <w:rPr>
                <w:rFonts w:eastAsiaTheme="minorHAnsi" w:cs="Arial"/>
                <w:bCs/>
                <w:sz w:val="24"/>
              </w:rPr>
              <w:t>The SBNI must also take into account the views of children and young people on the effectiveness of the arrangements to safeguard and promote the welfar</w:t>
            </w:r>
            <w:r>
              <w:rPr>
                <w:rFonts w:eastAsiaTheme="minorHAnsi" w:cs="Arial"/>
                <w:bCs/>
                <w:sz w:val="24"/>
              </w:rPr>
              <w:t xml:space="preserve">e of children and young people.  </w:t>
            </w:r>
            <w:r w:rsidRPr="00693D8A">
              <w:rPr>
                <w:rFonts w:eastAsiaTheme="minorHAnsi" w:cs="Arial"/>
                <w:bCs/>
                <w:sz w:val="24"/>
              </w:rPr>
              <w:t xml:space="preserve">In doing so, the SBNI must </w:t>
            </w:r>
            <w:r w:rsidRPr="00693D8A">
              <w:rPr>
                <w:rFonts w:eastAsiaTheme="minorHAnsi" w:cs="Arial"/>
                <w:bCs/>
                <w:sz w:val="24"/>
              </w:rPr>
              <w:lastRenderedPageBreak/>
              <w:t>establish a range of methods to promote direct communication and engagement with children and young people.</w:t>
            </w:r>
          </w:p>
          <w:p w:rsidR="00B26F24" w:rsidRDefault="00B26F24" w:rsidP="00693D8A">
            <w:pPr>
              <w:spacing w:after="0"/>
              <w:jc w:val="both"/>
              <w:rPr>
                <w:rFonts w:eastAsiaTheme="minorHAnsi" w:cs="Arial"/>
                <w:bCs/>
                <w:sz w:val="24"/>
              </w:rPr>
            </w:pPr>
          </w:p>
          <w:p w:rsidR="00B26F24" w:rsidRDefault="00B26F24" w:rsidP="00693D8A">
            <w:pPr>
              <w:spacing w:after="0"/>
              <w:jc w:val="both"/>
              <w:rPr>
                <w:rFonts w:eastAsiaTheme="minorHAnsi" w:cs="Arial"/>
                <w:bCs/>
                <w:sz w:val="24"/>
              </w:rPr>
            </w:pPr>
            <w:r w:rsidRPr="00B26F24">
              <w:rPr>
                <w:rFonts w:eastAsiaTheme="minorHAnsi" w:cs="Arial"/>
                <w:bCs/>
                <w:sz w:val="24"/>
              </w:rPr>
              <w:t>The fundamental corporate strategic value associated with this intention is that the SBNI will listen to children and young people, their views, feelings and experiences and place them</w:t>
            </w:r>
            <w:r w:rsidR="00F11848">
              <w:rPr>
                <w:rFonts w:eastAsiaTheme="minorHAnsi" w:cs="Arial"/>
                <w:bCs/>
                <w:sz w:val="24"/>
              </w:rPr>
              <w:t xml:space="preserve"> and these</w:t>
            </w:r>
            <w:r w:rsidRPr="00B26F24">
              <w:rPr>
                <w:rFonts w:eastAsiaTheme="minorHAnsi" w:cs="Arial"/>
                <w:bCs/>
                <w:sz w:val="24"/>
              </w:rPr>
              <w:t xml:space="preserve"> at the heart of what the SBNI does.</w:t>
            </w:r>
          </w:p>
          <w:p w:rsidR="00C23886" w:rsidRDefault="00C23886" w:rsidP="003E0C55">
            <w:pPr>
              <w:spacing w:after="0"/>
              <w:jc w:val="both"/>
              <w:rPr>
                <w:rFonts w:eastAsiaTheme="minorHAnsi" w:cs="Arial"/>
                <w:bCs/>
                <w:sz w:val="24"/>
              </w:rPr>
            </w:pPr>
          </w:p>
          <w:p w:rsidR="00E27D3C" w:rsidRPr="00E27D3C" w:rsidRDefault="00E27D3C" w:rsidP="003E0C55">
            <w:pPr>
              <w:spacing w:after="0"/>
              <w:jc w:val="both"/>
              <w:rPr>
                <w:rFonts w:eastAsiaTheme="minorHAnsi" w:cs="Arial"/>
                <w:b/>
                <w:bCs/>
                <w:sz w:val="24"/>
              </w:rPr>
            </w:pPr>
            <w:r w:rsidRPr="00E27D3C">
              <w:rPr>
                <w:rFonts w:eastAsiaTheme="minorHAnsi" w:cs="Arial"/>
                <w:b/>
                <w:bCs/>
                <w:sz w:val="24"/>
              </w:rPr>
              <w:t>Aim:</w:t>
            </w:r>
          </w:p>
          <w:p w:rsidR="00A7230F" w:rsidRDefault="00A7230F" w:rsidP="003E0C55">
            <w:pPr>
              <w:spacing w:after="0"/>
              <w:jc w:val="both"/>
              <w:rPr>
                <w:rFonts w:eastAsiaTheme="minorHAnsi" w:cs="Arial"/>
                <w:bCs/>
                <w:sz w:val="24"/>
              </w:rPr>
            </w:pPr>
            <w:r>
              <w:rPr>
                <w:rFonts w:eastAsiaTheme="minorHAnsi" w:cs="Arial"/>
                <w:bCs/>
                <w:sz w:val="24"/>
              </w:rPr>
              <w:t xml:space="preserve">The aim of this </w:t>
            </w:r>
            <w:r w:rsidR="00F34E08">
              <w:rPr>
                <w:rFonts w:eastAsiaTheme="minorHAnsi" w:cs="Arial"/>
                <w:bCs/>
                <w:sz w:val="24"/>
              </w:rPr>
              <w:t xml:space="preserve">engagement </w:t>
            </w:r>
            <w:r>
              <w:rPr>
                <w:rFonts w:eastAsiaTheme="minorHAnsi" w:cs="Arial"/>
                <w:bCs/>
                <w:sz w:val="24"/>
              </w:rPr>
              <w:t>strategy is to control, direct and inform</w:t>
            </w:r>
            <w:r w:rsidR="00693D8A">
              <w:rPr>
                <w:rFonts w:eastAsiaTheme="minorHAnsi" w:cs="Arial"/>
                <w:bCs/>
                <w:sz w:val="24"/>
              </w:rPr>
              <w:t xml:space="preserve"> how the SBNI</w:t>
            </w:r>
            <w:r>
              <w:rPr>
                <w:rFonts w:eastAsiaTheme="minorHAnsi" w:cs="Arial"/>
                <w:bCs/>
                <w:sz w:val="24"/>
              </w:rPr>
              <w:t xml:space="preserve"> will engage with children</w:t>
            </w:r>
            <w:r w:rsidR="001D485D">
              <w:rPr>
                <w:rFonts w:eastAsiaTheme="minorHAnsi" w:cs="Arial"/>
                <w:bCs/>
                <w:sz w:val="24"/>
              </w:rPr>
              <w:t xml:space="preserve"> and young people in Northern Ireland.  </w:t>
            </w:r>
            <w:r w:rsidR="00D521E6">
              <w:rPr>
                <w:rFonts w:eastAsiaTheme="minorHAnsi" w:cs="Arial"/>
                <w:bCs/>
                <w:sz w:val="24"/>
              </w:rPr>
              <w:t xml:space="preserve">This applies to the SBNI Board, the SBNI statutory and non-statutory committees and any suppliers whose services the SBNI will procure that involves engaging directly with children and young people. </w:t>
            </w:r>
            <w:r w:rsidR="001D485D">
              <w:rPr>
                <w:rFonts w:eastAsiaTheme="minorHAnsi" w:cs="Arial"/>
                <w:bCs/>
                <w:sz w:val="24"/>
              </w:rPr>
              <w:t>The strategy will also identify best practice methods for capturing these views across a wide and varied audience base.</w:t>
            </w:r>
          </w:p>
          <w:p w:rsidR="00A7230F" w:rsidRDefault="00A7230F" w:rsidP="003E0C55">
            <w:pPr>
              <w:spacing w:after="0"/>
              <w:jc w:val="both"/>
              <w:rPr>
                <w:rFonts w:eastAsiaTheme="minorHAnsi" w:cs="Arial"/>
                <w:bCs/>
                <w:sz w:val="24"/>
              </w:rPr>
            </w:pPr>
          </w:p>
          <w:p w:rsidR="00E27D3C" w:rsidRPr="00E27D3C" w:rsidRDefault="00E27D3C" w:rsidP="003E0C55">
            <w:pPr>
              <w:spacing w:after="0"/>
              <w:jc w:val="both"/>
              <w:rPr>
                <w:rFonts w:eastAsiaTheme="minorHAnsi" w:cs="Arial"/>
                <w:b/>
                <w:bCs/>
                <w:sz w:val="24"/>
              </w:rPr>
            </w:pPr>
            <w:r w:rsidRPr="00E27D3C">
              <w:rPr>
                <w:rFonts w:eastAsiaTheme="minorHAnsi" w:cs="Arial"/>
                <w:b/>
                <w:bCs/>
                <w:sz w:val="24"/>
              </w:rPr>
              <w:t>Objective:</w:t>
            </w:r>
          </w:p>
          <w:p w:rsidR="00C52FA1" w:rsidRDefault="00AC0A2B" w:rsidP="003E0C55">
            <w:pPr>
              <w:spacing w:after="0"/>
              <w:jc w:val="both"/>
              <w:rPr>
                <w:rFonts w:eastAsiaTheme="minorHAnsi" w:cs="Arial"/>
                <w:bCs/>
                <w:sz w:val="24"/>
              </w:rPr>
            </w:pPr>
            <w:r w:rsidRPr="00AC0A2B">
              <w:rPr>
                <w:rFonts w:eastAsiaTheme="minorHAnsi" w:cs="Arial"/>
                <w:bCs/>
                <w:sz w:val="24"/>
              </w:rPr>
              <w:t xml:space="preserve">The </w:t>
            </w:r>
            <w:r w:rsidR="00B26F24">
              <w:rPr>
                <w:rFonts w:eastAsiaTheme="minorHAnsi" w:cs="Arial"/>
                <w:bCs/>
                <w:sz w:val="24"/>
              </w:rPr>
              <w:t>objective</w:t>
            </w:r>
            <w:r w:rsidRPr="00AC0A2B">
              <w:rPr>
                <w:rFonts w:eastAsiaTheme="minorHAnsi" w:cs="Arial"/>
                <w:bCs/>
                <w:sz w:val="24"/>
              </w:rPr>
              <w:t xml:space="preserve"> of this </w:t>
            </w:r>
            <w:r w:rsidR="00F34E08">
              <w:rPr>
                <w:rFonts w:eastAsiaTheme="minorHAnsi" w:cs="Arial"/>
                <w:bCs/>
                <w:sz w:val="24"/>
              </w:rPr>
              <w:t xml:space="preserve">engagement </w:t>
            </w:r>
            <w:r w:rsidRPr="00AC0A2B">
              <w:rPr>
                <w:rFonts w:eastAsiaTheme="minorHAnsi" w:cs="Arial"/>
                <w:bCs/>
                <w:sz w:val="24"/>
              </w:rPr>
              <w:t>strategy is to ensure that the views and voices of children and young people are heard and responded to in r</w:t>
            </w:r>
            <w:r>
              <w:rPr>
                <w:rFonts w:eastAsiaTheme="minorHAnsi" w:cs="Arial"/>
                <w:bCs/>
                <w:sz w:val="24"/>
              </w:rPr>
              <w:t>elation to the safeguarding and</w:t>
            </w:r>
            <w:r w:rsidRPr="00AC0A2B">
              <w:rPr>
                <w:rFonts w:eastAsiaTheme="minorHAnsi" w:cs="Arial"/>
                <w:bCs/>
                <w:sz w:val="24"/>
              </w:rPr>
              <w:t xml:space="preserve"> child protection system in Northern Ireland, encompassing the strategic aims, intentions and priorities agreed by the SBNI in its Strategic Plan 2018-2022 and beyond.</w:t>
            </w:r>
          </w:p>
          <w:p w:rsidR="00E27D3C" w:rsidRDefault="00E27D3C" w:rsidP="003E0C55">
            <w:pPr>
              <w:spacing w:after="0"/>
              <w:jc w:val="both"/>
              <w:rPr>
                <w:rFonts w:eastAsiaTheme="minorHAnsi" w:cs="Arial"/>
                <w:bCs/>
                <w:sz w:val="24"/>
              </w:rPr>
            </w:pPr>
          </w:p>
          <w:p w:rsidR="00E27D3C" w:rsidRPr="00E27D3C" w:rsidRDefault="00E27D3C" w:rsidP="003E0C55">
            <w:pPr>
              <w:spacing w:after="0"/>
              <w:jc w:val="both"/>
              <w:rPr>
                <w:rFonts w:eastAsiaTheme="minorHAnsi" w:cs="Arial"/>
                <w:b/>
                <w:bCs/>
                <w:sz w:val="24"/>
              </w:rPr>
            </w:pPr>
            <w:r w:rsidRPr="00E27D3C">
              <w:rPr>
                <w:rFonts w:eastAsiaTheme="minorHAnsi" w:cs="Arial"/>
                <w:b/>
                <w:bCs/>
                <w:sz w:val="24"/>
              </w:rPr>
              <w:t>Intention:</w:t>
            </w:r>
          </w:p>
          <w:p w:rsidR="00F94647" w:rsidRDefault="00B26F24" w:rsidP="003E0C55">
            <w:pPr>
              <w:jc w:val="both"/>
              <w:rPr>
                <w:rFonts w:cs="Arial"/>
                <w:sz w:val="24"/>
              </w:rPr>
            </w:pPr>
            <w:r w:rsidRPr="00B26F24">
              <w:rPr>
                <w:rFonts w:cs="Arial"/>
                <w:sz w:val="24"/>
              </w:rPr>
              <w:t xml:space="preserve">Specifically, the intention of this engagement strategy is to create a climate of, and opportunities for, communication between the Board and children and young people who may be affected by the work of the SBNI.  This is then to be reflected in the corporate and business plans of the SBNI and the delivery workplans associated with the SBNI statutory and non-statutory committees and sub-groups that support the Board in its aims, intentions and strategic priorities.  </w:t>
            </w:r>
          </w:p>
          <w:p w:rsidR="00B26F24" w:rsidRDefault="00B26F24" w:rsidP="003E0C55">
            <w:pPr>
              <w:jc w:val="both"/>
              <w:rPr>
                <w:rFonts w:cs="Arial"/>
                <w:sz w:val="24"/>
              </w:rPr>
            </w:pPr>
            <w:r w:rsidRPr="00B26F24">
              <w:rPr>
                <w:rFonts w:cs="Arial"/>
                <w:sz w:val="24"/>
              </w:rPr>
              <w:t>Fundamental to this is securing the engagement of children and young people early in these planning processes to maximise the effectiveness and inclusivity of the work of the SBNI.</w:t>
            </w:r>
          </w:p>
          <w:p w:rsidR="00E27D3C" w:rsidRPr="00E27D3C" w:rsidRDefault="00E27D3C" w:rsidP="00E27D3C">
            <w:pPr>
              <w:jc w:val="both"/>
              <w:rPr>
                <w:rFonts w:cs="Arial"/>
                <w:sz w:val="24"/>
              </w:rPr>
            </w:pPr>
            <w:r w:rsidRPr="00E27D3C">
              <w:rPr>
                <w:rFonts w:cs="Arial"/>
                <w:sz w:val="24"/>
              </w:rPr>
              <w:t>Finally, the SBNI had previously defined engagement with children and young people, based on ASK FIRST standards, as:</w:t>
            </w:r>
          </w:p>
          <w:p w:rsidR="00E27D3C" w:rsidRPr="00E27D3C" w:rsidRDefault="00E27D3C" w:rsidP="00E27D3C">
            <w:pPr>
              <w:jc w:val="both"/>
              <w:rPr>
                <w:rFonts w:cs="Arial"/>
                <w:b/>
                <w:sz w:val="24"/>
              </w:rPr>
            </w:pPr>
            <w:r w:rsidRPr="00E27D3C">
              <w:rPr>
                <w:rFonts w:cs="Arial"/>
                <w:sz w:val="24"/>
              </w:rPr>
              <w:t>“</w:t>
            </w:r>
            <w:r w:rsidRPr="00E27D3C">
              <w:rPr>
                <w:rFonts w:cs="Arial"/>
                <w:b/>
                <w:sz w:val="24"/>
              </w:rPr>
              <w:t>The process by which decision makers directly involve children and young people in the development of policies, strategies and services which impact on their lives”.</w:t>
            </w:r>
          </w:p>
          <w:p w:rsidR="00E27D3C" w:rsidRPr="003E0C55" w:rsidRDefault="00E27D3C" w:rsidP="003E0C55">
            <w:pPr>
              <w:jc w:val="both"/>
              <w:rPr>
                <w:rFonts w:cs="Arial"/>
                <w:sz w:val="24"/>
              </w:rPr>
            </w:pPr>
          </w:p>
        </w:tc>
      </w:tr>
    </w:tbl>
    <w:p w:rsidR="00DF038C" w:rsidRDefault="00DF038C" w:rsidP="003E0C55">
      <w:pPr>
        <w:spacing w:after="0"/>
        <w:jc w:val="both"/>
        <w:rPr>
          <w:rFonts w:cs="Arial"/>
          <w:sz w:val="24"/>
        </w:rPr>
      </w:pPr>
    </w:p>
    <w:p w:rsidR="00EE0C45" w:rsidRPr="003E0C55" w:rsidRDefault="00DF038C" w:rsidP="00DF038C">
      <w:pPr>
        <w:spacing w:after="200" w:line="276" w:lineRule="auto"/>
        <w:rPr>
          <w:rFonts w:cs="Arial"/>
          <w:sz w:val="24"/>
        </w:rPr>
      </w:pPr>
      <w:r>
        <w:rPr>
          <w:rFonts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7304B" w:rsidRPr="003E0C55" w:rsidTr="002C715A">
        <w:tc>
          <w:tcPr>
            <w:tcW w:w="13408" w:type="dxa"/>
          </w:tcPr>
          <w:p w:rsidR="0087304B" w:rsidRPr="003E0C55" w:rsidRDefault="0087304B" w:rsidP="003E0C55">
            <w:pPr>
              <w:jc w:val="both"/>
              <w:rPr>
                <w:rFonts w:cs="Arial"/>
                <w:b/>
                <w:sz w:val="24"/>
              </w:rPr>
            </w:pPr>
            <w:r w:rsidRPr="003E0C55">
              <w:rPr>
                <w:rFonts w:cs="Arial"/>
                <w:b/>
                <w:sz w:val="24"/>
              </w:rPr>
              <w:lastRenderedPageBreak/>
              <w:t>1.3</w:t>
            </w:r>
            <w:r w:rsidRPr="003E0C55">
              <w:rPr>
                <w:rFonts w:cs="Arial"/>
                <w:b/>
                <w:sz w:val="24"/>
              </w:rPr>
              <w:tab/>
            </w:r>
            <w:hyperlink w:anchor="Onethree" w:history="1">
              <w:r w:rsidRPr="003E0C55">
                <w:rPr>
                  <w:rFonts w:cs="Arial"/>
                  <w:b/>
                  <w:sz w:val="24"/>
                </w:rPr>
                <w:t>Main stakeholders affected</w:t>
              </w:r>
            </w:hyperlink>
            <w:r w:rsidRPr="003E0C55">
              <w:rPr>
                <w:rFonts w:cs="Arial"/>
                <w:b/>
                <w:sz w:val="24"/>
              </w:rPr>
              <w:t xml:space="preserve"> (internal and external)</w:t>
            </w:r>
          </w:p>
          <w:p w:rsidR="003B6E29" w:rsidRDefault="003B6E29" w:rsidP="003E0C55">
            <w:pPr>
              <w:pStyle w:val="Default"/>
              <w:jc w:val="both"/>
            </w:pPr>
          </w:p>
          <w:p w:rsidR="00951B31" w:rsidRDefault="00951B31" w:rsidP="00951B31">
            <w:pPr>
              <w:pStyle w:val="Default"/>
              <w:jc w:val="both"/>
            </w:pPr>
            <w:r w:rsidRPr="00951B31">
              <w:rPr>
                <w:b/>
              </w:rPr>
              <w:t>Interna</w:t>
            </w:r>
            <w:r>
              <w:t>l:</w:t>
            </w:r>
          </w:p>
          <w:p w:rsidR="00EE0C45" w:rsidRDefault="00EE0C45" w:rsidP="005E0187">
            <w:pPr>
              <w:pStyle w:val="Default"/>
              <w:numPr>
                <w:ilvl w:val="0"/>
                <w:numId w:val="3"/>
              </w:numPr>
              <w:jc w:val="both"/>
            </w:pPr>
            <w:r>
              <w:t>SBNI Independent Chair</w:t>
            </w:r>
          </w:p>
          <w:p w:rsidR="00951B31" w:rsidRDefault="00951B31" w:rsidP="005E0187">
            <w:pPr>
              <w:pStyle w:val="Default"/>
              <w:numPr>
                <w:ilvl w:val="0"/>
                <w:numId w:val="3"/>
              </w:numPr>
              <w:jc w:val="both"/>
            </w:pPr>
            <w:r>
              <w:t>SBNI Member Bodies (21)</w:t>
            </w:r>
          </w:p>
          <w:p w:rsidR="00951B31" w:rsidRDefault="00951B31" w:rsidP="005E0187">
            <w:pPr>
              <w:pStyle w:val="Default"/>
              <w:numPr>
                <w:ilvl w:val="0"/>
                <w:numId w:val="3"/>
              </w:numPr>
              <w:jc w:val="both"/>
            </w:pPr>
            <w:r>
              <w:t>SBNI Independent P</w:t>
            </w:r>
            <w:r w:rsidR="00EE0C45">
              <w:t>ersons (5</w:t>
            </w:r>
            <w:r>
              <w:t>)</w:t>
            </w:r>
          </w:p>
          <w:p w:rsidR="00951B31" w:rsidRDefault="00951B31" w:rsidP="005E0187">
            <w:pPr>
              <w:pStyle w:val="Default"/>
              <w:numPr>
                <w:ilvl w:val="0"/>
                <w:numId w:val="3"/>
              </w:numPr>
              <w:jc w:val="both"/>
            </w:pPr>
            <w:r>
              <w:t>SBNI Partner A</w:t>
            </w:r>
            <w:r w:rsidRPr="00951B31">
              <w:t>gencies</w:t>
            </w:r>
            <w:r w:rsidR="00C17669">
              <w:t xml:space="preserve"> </w:t>
            </w:r>
          </w:p>
          <w:p w:rsidR="00951B31" w:rsidRDefault="00951B31" w:rsidP="005E0187">
            <w:pPr>
              <w:pStyle w:val="Default"/>
              <w:numPr>
                <w:ilvl w:val="0"/>
                <w:numId w:val="3"/>
              </w:numPr>
              <w:jc w:val="both"/>
            </w:pPr>
            <w:r>
              <w:t>Those other safeguarding and child protection agencies who sit on the five SBNI Safeguarding Panels</w:t>
            </w:r>
          </w:p>
          <w:p w:rsidR="00951B31" w:rsidRDefault="00951B31" w:rsidP="005E0187">
            <w:pPr>
              <w:pStyle w:val="Default"/>
              <w:numPr>
                <w:ilvl w:val="0"/>
                <w:numId w:val="3"/>
              </w:numPr>
              <w:jc w:val="both"/>
            </w:pPr>
            <w:r>
              <w:t>Those organisations whose services are commissioned by SBNI</w:t>
            </w:r>
          </w:p>
          <w:p w:rsidR="00951B31" w:rsidRDefault="00951B31" w:rsidP="005E0187">
            <w:pPr>
              <w:pStyle w:val="Default"/>
              <w:numPr>
                <w:ilvl w:val="0"/>
                <w:numId w:val="3"/>
              </w:numPr>
              <w:jc w:val="both"/>
            </w:pPr>
            <w:r>
              <w:t>SBNI Independent Chair</w:t>
            </w:r>
          </w:p>
          <w:p w:rsidR="00951B31" w:rsidRDefault="00951B31" w:rsidP="005E0187">
            <w:pPr>
              <w:pStyle w:val="Default"/>
              <w:numPr>
                <w:ilvl w:val="0"/>
                <w:numId w:val="3"/>
              </w:numPr>
              <w:jc w:val="both"/>
            </w:pPr>
            <w:r>
              <w:t>SBNI Director of Operations</w:t>
            </w:r>
          </w:p>
          <w:p w:rsidR="00951B31" w:rsidRDefault="00951B31" w:rsidP="005E0187">
            <w:pPr>
              <w:pStyle w:val="Default"/>
              <w:numPr>
                <w:ilvl w:val="0"/>
                <w:numId w:val="3"/>
              </w:numPr>
              <w:jc w:val="both"/>
            </w:pPr>
            <w:r>
              <w:t>SBNI Professional Officers (X2)</w:t>
            </w:r>
          </w:p>
          <w:p w:rsidR="00951B31" w:rsidRDefault="00DF038C" w:rsidP="005E0187">
            <w:pPr>
              <w:pStyle w:val="Default"/>
              <w:numPr>
                <w:ilvl w:val="0"/>
                <w:numId w:val="3"/>
              </w:numPr>
              <w:jc w:val="both"/>
            </w:pPr>
            <w:r>
              <w:t>SBNI Business Support Manager</w:t>
            </w:r>
          </w:p>
          <w:p w:rsidR="00951B31" w:rsidRDefault="00951B31" w:rsidP="005E0187">
            <w:pPr>
              <w:pStyle w:val="Default"/>
              <w:numPr>
                <w:ilvl w:val="0"/>
                <w:numId w:val="3"/>
              </w:numPr>
              <w:jc w:val="both"/>
            </w:pPr>
            <w:r>
              <w:t>SBNI Office Manager/Board Secretary</w:t>
            </w:r>
            <w:r w:rsidR="00C23886">
              <w:t xml:space="preserve"> (currently vacant)</w:t>
            </w:r>
          </w:p>
          <w:p w:rsidR="00951B31" w:rsidRDefault="00951B31" w:rsidP="005E0187">
            <w:pPr>
              <w:pStyle w:val="Default"/>
              <w:numPr>
                <w:ilvl w:val="0"/>
                <w:numId w:val="3"/>
              </w:numPr>
              <w:jc w:val="both"/>
            </w:pPr>
            <w:r>
              <w:t xml:space="preserve">SBNI </w:t>
            </w:r>
            <w:r w:rsidR="00DF038C">
              <w:t>Business Support Officers (X2</w:t>
            </w:r>
            <w:r>
              <w:t>)</w:t>
            </w:r>
          </w:p>
          <w:p w:rsidR="00DF038C" w:rsidRDefault="00DF038C" w:rsidP="005E0187">
            <w:pPr>
              <w:pStyle w:val="Default"/>
              <w:numPr>
                <w:ilvl w:val="0"/>
                <w:numId w:val="3"/>
              </w:numPr>
              <w:jc w:val="both"/>
            </w:pPr>
            <w:r>
              <w:t>SBNI Administration Staff (X2)</w:t>
            </w:r>
          </w:p>
          <w:p w:rsidR="00951B31" w:rsidRDefault="00951B31" w:rsidP="00951B31">
            <w:pPr>
              <w:pStyle w:val="Default"/>
              <w:jc w:val="both"/>
            </w:pPr>
          </w:p>
          <w:p w:rsidR="00F65B9E" w:rsidRDefault="00F65B9E" w:rsidP="00951B31">
            <w:pPr>
              <w:pStyle w:val="Default"/>
              <w:jc w:val="both"/>
              <w:rPr>
                <w:b/>
              </w:rPr>
            </w:pPr>
          </w:p>
          <w:p w:rsidR="00951B31" w:rsidRPr="00951B31" w:rsidRDefault="00951B31" w:rsidP="00951B31">
            <w:pPr>
              <w:pStyle w:val="Default"/>
              <w:jc w:val="both"/>
              <w:rPr>
                <w:b/>
              </w:rPr>
            </w:pPr>
            <w:r w:rsidRPr="00951B31">
              <w:rPr>
                <w:b/>
              </w:rPr>
              <w:t>External:</w:t>
            </w:r>
          </w:p>
          <w:p w:rsidR="00E27D3C" w:rsidRDefault="009D302C" w:rsidP="005E0187">
            <w:pPr>
              <w:pStyle w:val="Default"/>
              <w:numPr>
                <w:ilvl w:val="0"/>
                <w:numId w:val="3"/>
              </w:numPr>
              <w:jc w:val="both"/>
            </w:pPr>
            <w:r>
              <w:t>Children and Young P</w:t>
            </w:r>
            <w:r w:rsidR="00E27D3C">
              <w:t>eople</w:t>
            </w:r>
            <w:r w:rsidR="00951B31">
              <w:t xml:space="preserve"> </w:t>
            </w:r>
          </w:p>
          <w:p w:rsidR="00951B31" w:rsidRDefault="00E27D3C" w:rsidP="005E0187">
            <w:pPr>
              <w:pStyle w:val="Default"/>
              <w:numPr>
                <w:ilvl w:val="0"/>
                <w:numId w:val="3"/>
              </w:numPr>
              <w:jc w:val="both"/>
            </w:pPr>
            <w:r>
              <w:t>T</w:t>
            </w:r>
            <w:r w:rsidR="00951B31">
              <w:t>heir families and carers</w:t>
            </w:r>
          </w:p>
          <w:p w:rsidR="00951B31" w:rsidRDefault="00951B31" w:rsidP="005E0187">
            <w:pPr>
              <w:pStyle w:val="Default"/>
              <w:numPr>
                <w:ilvl w:val="0"/>
                <w:numId w:val="3"/>
              </w:numPr>
              <w:jc w:val="both"/>
            </w:pPr>
            <w:r>
              <w:t>Wider Public</w:t>
            </w:r>
          </w:p>
          <w:p w:rsidR="00951B31" w:rsidRDefault="00951B31" w:rsidP="005E0187">
            <w:pPr>
              <w:pStyle w:val="Default"/>
              <w:numPr>
                <w:ilvl w:val="0"/>
                <w:numId w:val="3"/>
              </w:numPr>
              <w:jc w:val="both"/>
            </w:pPr>
            <w:r>
              <w:t>Department of Health (as the SBNI sponsor department)</w:t>
            </w:r>
          </w:p>
          <w:p w:rsidR="00951B31" w:rsidRDefault="00951B31" w:rsidP="005E0187">
            <w:pPr>
              <w:pStyle w:val="Default"/>
              <w:numPr>
                <w:ilvl w:val="0"/>
                <w:numId w:val="3"/>
              </w:numPr>
              <w:jc w:val="both"/>
            </w:pPr>
            <w:r>
              <w:t>Public Health Agen</w:t>
            </w:r>
            <w:r w:rsidR="00C23886">
              <w:t>cy (as the SBNI corporate host)</w:t>
            </w:r>
          </w:p>
          <w:p w:rsidR="00C23886" w:rsidRDefault="00C23886" w:rsidP="005E0187">
            <w:pPr>
              <w:pStyle w:val="Default"/>
              <w:numPr>
                <w:ilvl w:val="0"/>
                <w:numId w:val="3"/>
              </w:numPr>
              <w:jc w:val="both"/>
            </w:pPr>
            <w:r>
              <w:t xml:space="preserve">Business Services </w:t>
            </w:r>
            <w:r w:rsidR="00F34E08">
              <w:t>Organisation</w:t>
            </w:r>
            <w:r>
              <w:t xml:space="preserve"> Equality Unit</w:t>
            </w:r>
            <w:r w:rsidR="00F65B9E">
              <w:t xml:space="preserve"> (as the SBNI Equality Partner)</w:t>
            </w:r>
            <w:r>
              <w:t>.</w:t>
            </w:r>
          </w:p>
          <w:p w:rsidR="00951B31" w:rsidRPr="003E0C55" w:rsidRDefault="00951B31" w:rsidP="00951B31">
            <w:pPr>
              <w:pStyle w:val="Default"/>
              <w:jc w:val="both"/>
            </w:pPr>
          </w:p>
        </w:tc>
      </w:tr>
    </w:tbl>
    <w:p w:rsidR="00DF038C" w:rsidRDefault="00DF038C" w:rsidP="003E0C55">
      <w:pPr>
        <w:spacing w:after="0"/>
        <w:jc w:val="both"/>
        <w:rPr>
          <w:rFonts w:cs="Arial"/>
          <w:sz w:val="24"/>
        </w:rPr>
      </w:pPr>
    </w:p>
    <w:p w:rsidR="00F34E08" w:rsidRPr="003E0C55" w:rsidRDefault="00DF038C" w:rsidP="00DF038C">
      <w:pPr>
        <w:spacing w:after="200" w:line="276" w:lineRule="auto"/>
        <w:rPr>
          <w:rFonts w:cs="Arial"/>
          <w:sz w:val="24"/>
        </w:rPr>
      </w:pPr>
      <w:r>
        <w:rPr>
          <w:rFonts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7304B" w:rsidRPr="003E0C55" w:rsidTr="002C715A">
        <w:tc>
          <w:tcPr>
            <w:tcW w:w="13408" w:type="dxa"/>
          </w:tcPr>
          <w:p w:rsidR="0087304B" w:rsidRPr="00951B31" w:rsidRDefault="002742AD" w:rsidP="003E0C55">
            <w:pPr>
              <w:jc w:val="both"/>
              <w:rPr>
                <w:rFonts w:cs="Arial"/>
                <w:b/>
                <w:sz w:val="24"/>
              </w:rPr>
            </w:pPr>
            <w:hyperlink w:anchor="Onefour" w:history="1">
              <w:r w:rsidR="0087304B" w:rsidRPr="00951B31">
                <w:rPr>
                  <w:rFonts w:cs="Arial"/>
                  <w:b/>
                  <w:sz w:val="24"/>
                </w:rPr>
                <w:t>1.4</w:t>
              </w:r>
              <w:r w:rsidR="0087304B" w:rsidRPr="00951B31">
                <w:rPr>
                  <w:rFonts w:cs="Arial"/>
                  <w:b/>
                  <w:sz w:val="24"/>
                </w:rPr>
                <w:tab/>
                <w:t>Other policies or decisions with a bearing on this policy or decision</w:t>
              </w:r>
            </w:hyperlink>
          </w:p>
          <w:p w:rsidR="00EB3D97" w:rsidRPr="00951B31" w:rsidRDefault="00EB3D97" w:rsidP="003E0C55">
            <w:pPr>
              <w:spacing w:after="0"/>
              <w:jc w:val="both"/>
              <w:rPr>
                <w:rFonts w:cs="Arial"/>
                <w:bCs/>
                <w:sz w:val="24"/>
              </w:rPr>
            </w:pPr>
          </w:p>
          <w:p w:rsidR="00BD63D3" w:rsidRPr="00C23886" w:rsidRDefault="00C23886" w:rsidP="00951B31">
            <w:pPr>
              <w:pStyle w:val="Default"/>
              <w:jc w:val="both"/>
              <w:rPr>
                <w:b/>
              </w:rPr>
            </w:pPr>
            <w:r w:rsidRPr="00C23886">
              <w:rPr>
                <w:b/>
              </w:rPr>
              <w:t xml:space="preserve">Internal: </w:t>
            </w:r>
          </w:p>
          <w:p w:rsidR="00C23886" w:rsidRDefault="00F34E08" w:rsidP="005E0187">
            <w:pPr>
              <w:pStyle w:val="Default"/>
              <w:numPr>
                <w:ilvl w:val="0"/>
                <w:numId w:val="5"/>
              </w:numPr>
              <w:jc w:val="both"/>
            </w:pPr>
            <w:r>
              <w:t>Safeguarding</w:t>
            </w:r>
            <w:r w:rsidR="00C23886">
              <w:t xml:space="preserve"> Board Act (Northern Ireland) 2011</w:t>
            </w:r>
          </w:p>
          <w:p w:rsidR="00F34E08" w:rsidRDefault="00F34E08" w:rsidP="005E0187">
            <w:pPr>
              <w:pStyle w:val="Default"/>
              <w:numPr>
                <w:ilvl w:val="0"/>
                <w:numId w:val="5"/>
              </w:numPr>
              <w:jc w:val="both"/>
            </w:pPr>
            <w:r>
              <w:t>SBNI (Membership, Procedure, Functions and Committee) Regulations (Northern Ireland) 2012</w:t>
            </w:r>
          </w:p>
          <w:p w:rsidR="00F34E08" w:rsidRDefault="00F34E08" w:rsidP="005E0187">
            <w:pPr>
              <w:pStyle w:val="Default"/>
              <w:numPr>
                <w:ilvl w:val="0"/>
                <w:numId w:val="5"/>
              </w:numPr>
              <w:jc w:val="both"/>
            </w:pPr>
            <w:r>
              <w:t xml:space="preserve">SBNI Terms of Reference 2012 </w:t>
            </w:r>
          </w:p>
          <w:p w:rsidR="00C23886" w:rsidRDefault="00C23886" w:rsidP="005E0187">
            <w:pPr>
              <w:pStyle w:val="Default"/>
              <w:numPr>
                <w:ilvl w:val="0"/>
                <w:numId w:val="5"/>
              </w:numPr>
              <w:jc w:val="both"/>
            </w:pPr>
            <w:r w:rsidRPr="00951B31">
              <w:t>SBNI S</w:t>
            </w:r>
            <w:r>
              <w:t xml:space="preserve">trategic Plan 2018 </w:t>
            </w:r>
            <w:r w:rsidR="00292C1B">
              <w:t>–</w:t>
            </w:r>
            <w:r>
              <w:t xml:space="preserve"> 2022</w:t>
            </w:r>
          </w:p>
          <w:p w:rsidR="00292C1B" w:rsidRDefault="00292C1B" w:rsidP="005E0187">
            <w:pPr>
              <w:pStyle w:val="Default"/>
              <w:numPr>
                <w:ilvl w:val="0"/>
                <w:numId w:val="5"/>
              </w:numPr>
            </w:pPr>
            <w:r>
              <w:t>SBNI Annual Report 2019-2020</w:t>
            </w:r>
            <w:r w:rsidRPr="00292C1B">
              <w:t xml:space="preserve"> </w:t>
            </w:r>
          </w:p>
          <w:p w:rsidR="00292C1B" w:rsidRPr="00292C1B" w:rsidRDefault="00292C1B" w:rsidP="005E0187">
            <w:pPr>
              <w:pStyle w:val="Default"/>
              <w:numPr>
                <w:ilvl w:val="0"/>
                <w:numId w:val="5"/>
              </w:numPr>
            </w:pPr>
            <w:r w:rsidRPr="00292C1B">
              <w:t>SBNI Safeguarding Statistics Snapshot 2019-2020</w:t>
            </w:r>
          </w:p>
          <w:p w:rsidR="00C23886" w:rsidRDefault="00C23886" w:rsidP="005E0187">
            <w:pPr>
              <w:pStyle w:val="Default"/>
              <w:numPr>
                <w:ilvl w:val="0"/>
                <w:numId w:val="5"/>
              </w:numPr>
              <w:jc w:val="both"/>
            </w:pPr>
            <w:r>
              <w:t xml:space="preserve">SBNI Corporate Annual </w:t>
            </w:r>
            <w:r w:rsidR="00292C1B">
              <w:t xml:space="preserve">Business </w:t>
            </w:r>
            <w:r>
              <w:t>Plan 2021-2022</w:t>
            </w:r>
          </w:p>
          <w:p w:rsidR="00C23886" w:rsidRDefault="00C23886" w:rsidP="005E0187">
            <w:pPr>
              <w:pStyle w:val="Default"/>
              <w:numPr>
                <w:ilvl w:val="0"/>
                <w:numId w:val="5"/>
              </w:numPr>
              <w:jc w:val="both"/>
            </w:pPr>
            <w:r>
              <w:t>SBNI Communications Strategy 2021-2023</w:t>
            </w:r>
          </w:p>
          <w:p w:rsidR="00292C1B" w:rsidRPr="00951B31" w:rsidRDefault="00292C1B" w:rsidP="005E0187">
            <w:pPr>
              <w:pStyle w:val="Default"/>
              <w:numPr>
                <w:ilvl w:val="0"/>
                <w:numId w:val="5"/>
              </w:numPr>
              <w:jc w:val="both"/>
            </w:pPr>
            <w:r>
              <w:t>SBNI Equality and Disability Action Plan 2018-2023</w:t>
            </w:r>
          </w:p>
          <w:p w:rsidR="00951B31" w:rsidRPr="00951B31" w:rsidRDefault="00951B31" w:rsidP="00951B31">
            <w:pPr>
              <w:pStyle w:val="Default"/>
              <w:jc w:val="both"/>
            </w:pPr>
          </w:p>
          <w:p w:rsidR="00951B31" w:rsidRPr="00951B31" w:rsidRDefault="00951B31" w:rsidP="00951B31">
            <w:pPr>
              <w:pStyle w:val="Default"/>
              <w:jc w:val="both"/>
            </w:pPr>
          </w:p>
          <w:p w:rsidR="00951B31" w:rsidRPr="00951B31" w:rsidRDefault="00C23886" w:rsidP="00951B31">
            <w:pPr>
              <w:pStyle w:val="Default"/>
              <w:jc w:val="both"/>
              <w:rPr>
                <w:b/>
              </w:rPr>
            </w:pPr>
            <w:r>
              <w:rPr>
                <w:b/>
              </w:rPr>
              <w:t>External:</w:t>
            </w:r>
          </w:p>
          <w:p w:rsidR="00292C1B" w:rsidRDefault="00F34E08" w:rsidP="005E0187">
            <w:pPr>
              <w:pStyle w:val="Default"/>
              <w:numPr>
                <w:ilvl w:val="0"/>
                <w:numId w:val="5"/>
              </w:numPr>
              <w:jc w:val="both"/>
            </w:pPr>
            <w:r>
              <w:t>DHSSPS</w:t>
            </w:r>
            <w:r w:rsidRPr="00F34E08">
              <w:t xml:space="preserve"> Guidance to the Safeguarding Board for Northern Ireland 2014</w:t>
            </w:r>
            <w:r w:rsidR="00292C1B" w:rsidRPr="00292C1B">
              <w:t xml:space="preserve"> </w:t>
            </w:r>
          </w:p>
          <w:p w:rsidR="00F34E08" w:rsidRDefault="00292C1B" w:rsidP="005E0187">
            <w:pPr>
              <w:pStyle w:val="Default"/>
              <w:numPr>
                <w:ilvl w:val="0"/>
                <w:numId w:val="5"/>
              </w:numPr>
              <w:jc w:val="both"/>
            </w:pPr>
            <w:r w:rsidRPr="00292C1B">
              <w:t xml:space="preserve">DHSSPS May 2015 - Co-operating to Safeguard Children and Young People in Northern Ireland Policy Document </w:t>
            </w:r>
          </w:p>
          <w:p w:rsidR="00951B31" w:rsidRPr="00951B31" w:rsidRDefault="00951B31" w:rsidP="005E0187">
            <w:pPr>
              <w:pStyle w:val="Default"/>
              <w:numPr>
                <w:ilvl w:val="0"/>
                <w:numId w:val="5"/>
              </w:numPr>
              <w:jc w:val="both"/>
            </w:pPr>
            <w:r w:rsidRPr="00951B31">
              <w:t>Northern Ireland Executive Programme for Government Framework 2016 - 202</w:t>
            </w:r>
            <w:r w:rsidR="00F34E08">
              <w:t>1</w:t>
            </w:r>
          </w:p>
          <w:p w:rsidR="00951B31" w:rsidRPr="00951B31" w:rsidRDefault="00951B31" w:rsidP="005E0187">
            <w:pPr>
              <w:pStyle w:val="Default"/>
              <w:numPr>
                <w:ilvl w:val="0"/>
                <w:numId w:val="5"/>
              </w:numPr>
              <w:jc w:val="both"/>
            </w:pPr>
            <w:r w:rsidRPr="00951B31">
              <w:t xml:space="preserve">OFMDFM 2006 – Our children and young people, our pledge: a 10 year strategy for children and young people </w:t>
            </w:r>
          </w:p>
          <w:p w:rsidR="00951B31" w:rsidRDefault="00951B31" w:rsidP="005E0187">
            <w:pPr>
              <w:pStyle w:val="Default"/>
              <w:numPr>
                <w:ilvl w:val="0"/>
                <w:numId w:val="5"/>
              </w:numPr>
              <w:jc w:val="both"/>
            </w:pPr>
            <w:r w:rsidRPr="00951B31">
              <w:t xml:space="preserve">OFMDFM 2009 – Safeguarding children: a cross-departmental statement on the protection of children and young people </w:t>
            </w:r>
          </w:p>
          <w:p w:rsidR="00951B31" w:rsidRPr="00951B31" w:rsidRDefault="009D7E32" w:rsidP="009D7E32">
            <w:pPr>
              <w:pStyle w:val="Default"/>
              <w:ind w:left="360"/>
              <w:jc w:val="both"/>
            </w:pPr>
            <w:r w:rsidRPr="009D7E32">
              <w:t>•</w:t>
            </w:r>
            <w:r w:rsidRPr="009D7E32">
              <w:tab/>
            </w:r>
            <w:hyperlink r:id="rId15" w:history="1">
              <w:r w:rsidRPr="009D7E32">
                <w:rPr>
                  <w:rStyle w:val="Hyperlink"/>
                </w:rPr>
                <w:t xml:space="preserve">Equality Commission for NI Guidance for Public Authorities on Consulting and </w:t>
              </w:r>
              <w:r w:rsidR="009169EB">
                <w:rPr>
                  <w:rStyle w:val="Hyperlink"/>
                </w:rPr>
                <w:t xml:space="preserve">  </w:t>
              </w:r>
              <w:r w:rsidRPr="009D7E32">
                <w:rPr>
                  <w:rStyle w:val="Hyperlink"/>
                </w:rPr>
                <w:t>Involving Children and Young People: Let’s Talk Let’s Listen</w:t>
              </w:r>
            </w:hyperlink>
          </w:p>
        </w:tc>
      </w:tr>
    </w:tbl>
    <w:p w:rsidR="00CE6933" w:rsidRPr="003E0C55" w:rsidRDefault="00CE6933" w:rsidP="003E0C55">
      <w:pPr>
        <w:pStyle w:val="BodyText2"/>
        <w:spacing w:before="240"/>
        <w:ind w:left="700" w:hanging="700"/>
        <w:jc w:val="both"/>
        <w:rPr>
          <w:rFonts w:cs="Arial"/>
          <w:bCs/>
          <w:sz w:val="24"/>
          <w:szCs w:val="24"/>
        </w:rPr>
      </w:pPr>
      <w:r w:rsidRPr="003E0C55">
        <w:rPr>
          <w:rFonts w:cs="Arial"/>
          <w:bCs/>
          <w:sz w:val="24"/>
          <w:szCs w:val="24"/>
        </w:rPr>
        <w:br w:type="page"/>
      </w:r>
    </w:p>
    <w:p w:rsidR="0087304B" w:rsidRPr="003E0C55" w:rsidRDefault="00482FCF" w:rsidP="003E0C55">
      <w:pPr>
        <w:pStyle w:val="BodyText2"/>
        <w:spacing w:before="240"/>
        <w:ind w:left="700" w:hanging="700"/>
        <w:jc w:val="both"/>
        <w:rPr>
          <w:rFonts w:cs="Arial"/>
          <w:sz w:val="24"/>
          <w:szCs w:val="24"/>
        </w:rPr>
      </w:pPr>
      <w:r w:rsidRPr="003E0C55">
        <w:rPr>
          <w:rFonts w:cs="Arial"/>
          <w:bCs/>
          <w:sz w:val="24"/>
          <w:szCs w:val="24"/>
        </w:rPr>
        <w:lastRenderedPageBreak/>
        <w:t xml:space="preserve"> </w:t>
      </w:r>
      <w:r w:rsidR="0087304B" w:rsidRPr="003E0C55">
        <w:rPr>
          <w:rFonts w:cs="Arial"/>
          <w:bCs/>
          <w:sz w:val="24"/>
          <w:szCs w:val="24"/>
        </w:rPr>
        <w:t>(2)</w:t>
      </w:r>
      <w:r w:rsidR="0087304B" w:rsidRPr="003E0C55">
        <w:rPr>
          <w:rFonts w:cs="Arial"/>
          <w:bCs/>
          <w:sz w:val="24"/>
          <w:szCs w:val="24"/>
        </w:rPr>
        <w:tab/>
        <w:t>CONSIDERATION OF EQUALITY AND GOOD RELATIONS ISSUES AND EVIDENCE USED</w:t>
      </w:r>
    </w:p>
    <w:p w:rsidR="00DA694B" w:rsidRDefault="0087304B" w:rsidP="0067076F">
      <w:pPr>
        <w:pStyle w:val="BodyText2"/>
        <w:spacing w:before="240"/>
        <w:jc w:val="both"/>
        <w:rPr>
          <w:rFonts w:cs="Arial"/>
          <w:bCs/>
          <w:sz w:val="24"/>
          <w:szCs w:val="24"/>
        </w:rPr>
      </w:pPr>
      <w:r w:rsidRPr="003E0C55">
        <w:rPr>
          <w:rFonts w:cs="Arial"/>
          <w:sz w:val="24"/>
          <w:szCs w:val="24"/>
        </w:rPr>
        <w:t>2.1</w:t>
      </w:r>
      <w:r w:rsidRPr="003E0C55">
        <w:rPr>
          <w:rFonts w:cs="Arial"/>
          <w:sz w:val="24"/>
          <w:szCs w:val="24"/>
        </w:rPr>
        <w:tab/>
      </w:r>
      <w:r w:rsidRPr="003E0C55">
        <w:rPr>
          <w:rFonts w:cs="Arial"/>
          <w:bCs/>
          <w:sz w:val="24"/>
          <w:szCs w:val="24"/>
        </w:rPr>
        <w:t>Data gathering</w:t>
      </w:r>
    </w:p>
    <w:p w:rsidR="0067076F" w:rsidRPr="00DA694B" w:rsidRDefault="0067076F" w:rsidP="0067076F">
      <w:pPr>
        <w:pStyle w:val="BodyText2"/>
        <w:spacing w:before="240"/>
        <w:jc w:val="both"/>
        <w:rPr>
          <w:rFonts w:cs="Arial"/>
          <w:bCs/>
          <w:sz w:val="24"/>
          <w:szCs w:val="24"/>
        </w:rPr>
      </w:pPr>
    </w:p>
    <w:tbl>
      <w:tblPr>
        <w:tblStyle w:val="TableGrid"/>
        <w:tblW w:w="0" w:type="auto"/>
        <w:tblInd w:w="700" w:type="dxa"/>
        <w:tblLook w:val="04A0" w:firstRow="1" w:lastRow="0" w:firstColumn="1" w:lastColumn="0" w:noHBand="0" w:noVBand="1"/>
      </w:tblPr>
      <w:tblGrid>
        <w:gridCol w:w="8542"/>
      </w:tblGrid>
      <w:tr w:rsidR="00EE0C45" w:rsidTr="00D521E6">
        <w:trPr>
          <w:trHeight w:val="886"/>
        </w:trPr>
        <w:tc>
          <w:tcPr>
            <w:tcW w:w="9242" w:type="dxa"/>
          </w:tcPr>
          <w:p w:rsidR="00DA694B" w:rsidRDefault="00666056" w:rsidP="00DA694B">
            <w:pPr>
              <w:pStyle w:val="Default"/>
              <w:jc w:val="both"/>
            </w:pPr>
            <w:r>
              <w:t>This engagement strategy</w:t>
            </w:r>
            <w:r w:rsidR="00292C1B">
              <w:t xml:space="preserve"> was </w:t>
            </w:r>
            <w:r w:rsidR="00DA694B">
              <w:t xml:space="preserve">commissioned by </w:t>
            </w:r>
            <w:r w:rsidR="00A64461">
              <w:t xml:space="preserve">the SBNI </w:t>
            </w:r>
            <w:r w:rsidR="00DA694B">
              <w:t xml:space="preserve">through a price comparison exercise </w:t>
            </w:r>
            <w:r w:rsidR="00DA694B" w:rsidRPr="00DA694B">
              <w:t xml:space="preserve">to secure the engagement of a service provider, initially for a period up to 31 June 2021, to develop and produce a three-year strategy in respect of how the SBNI will engage with children and young people </w:t>
            </w:r>
            <w:r w:rsidR="00DA694B">
              <w:t>in Northern Ireland.</w:t>
            </w:r>
          </w:p>
          <w:p w:rsidR="00DA694B" w:rsidRDefault="00DA694B" w:rsidP="00DA694B">
            <w:pPr>
              <w:pStyle w:val="Default"/>
              <w:jc w:val="both"/>
            </w:pPr>
          </w:p>
          <w:p w:rsidR="00DA694B" w:rsidRPr="00DA694B" w:rsidRDefault="00DA694B" w:rsidP="00DA694B">
            <w:pPr>
              <w:pStyle w:val="Default"/>
              <w:jc w:val="both"/>
            </w:pPr>
            <w:r>
              <w:t xml:space="preserve">In particular, the specification for this exercise required that the successful bidder would adhere to the following principles </w:t>
            </w:r>
            <w:r w:rsidRPr="00DA694B">
              <w:t>in the development and production of this strategy:</w:t>
            </w:r>
          </w:p>
          <w:p w:rsidR="00DA694B" w:rsidRPr="00DA694B" w:rsidRDefault="00DA694B" w:rsidP="005E0187">
            <w:pPr>
              <w:pStyle w:val="Default"/>
              <w:numPr>
                <w:ilvl w:val="0"/>
                <w:numId w:val="6"/>
              </w:numPr>
              <w:jc w:val="both"/>
            </w:pPr>
            <w:r w:rsidRPr="00DA694B">
              <w:t>The representative sample of children and young people to be engaged with must include coverage of Section 75 categories, where applicable</w:t>
            </w:r>
          </w:p>
          <w:p w:rsidR="00DA694B" w:rsidRPr="00DA694B" w:rsidRDefault="00DA694B" w:rsidP="005E0187">
            <w:pPr>
              <w:pStyle w:val="Default"/>
              <w:numPr>
                <w:ilvl w:val="0"/>
                <w:numId w:val="6"/>
              </w:numPr>
              <w:jc w:val="both"/>
            </w:pPr>
            <w:r w:rsidRPr="00DA694B">
              <w:t xml:space="preserve">The above must also include those children and young people who may be difficult to engage with due to their vulnerability and/or marginalisation  </w:t>
            </w:r>
          </w:p>
          <w:p w:rsidR="00DA694B" w:rsidRPr="00DA694B" w:rsidRDefault="00DA694B" w:rsidP="005E0187">
            <w:pPr>
              <w:pStyle w:val="Default"/>
              <w:numPr>
                <w:ilvl w:val="0"/>
                <w:numId w:val="6"/>
              </w:numPr>
              <w:jc w:val="both"/>
            </w:pPr>
            <w:r w:rsidRPr="00DA694B">
              <w:t xml:space="preserve">Ensure a rural/urban representation of children and young people </w:t>
            </w:r>
          </w:p>
          <w:p w:rsidR="00DA694B" w:rsidRPr="00DA694B" w:rsidRDefault="00DA694B" w:rsidP="005E0187">
            <w:pPr>
              <w:pStyle w:val="Default"/>
              <w:numPr>
                <w:ilvl w:val="0"/>
                <w:numId w:val="6"/>
              </w:numPr>
              <w:jc w:val="both"/>
            </w:pPr>
            <w:r w:rsidRPr="00DA694B">
              <w:t>Create a range of opportunities for eliciting their views and opinions.</w:t>
            </w:r>
          </w:p>
          <w:p w:rsidR="00DA694B" w:rsidRDefault="00DA694B" w:rsidP="00DF038C">
            <w:pPr>
              <w:pStyle w:val="Default"/>
              <w:jc w:val="both"/>
            </w:pPr>
          </w:p>
          <w:p w:rsidR="0067076F" w:rsidRDefault="0067076F" w:rsidP="00DF038C">
            <w:pPr>
              <w:pStyle w:val="Default"/>
              <w:jc w:val="both"/>
            </w:pPr>
            <w:r>
              <w:t>Also, g</w:t>
            </w:r>
            <w:r w:rsidRPr="0067076F">
              <w:t>iven the current COVID-19 pandemic and the limitations and restrictions placed on social gatherings and adherence to the regulations and norms associ</w:t>
            </w:r>
            <w:r>
              <w:t>ated with social distancing, the</w:t>
            </w:r>
            <w:r w:rsidRPr="0067076F">
              <w:t xml:space="preserve"> response to this exercise must include strategies and ways for engagement in this current climate compliant with these.</w:t>
            </w:r>
          </w:p>
          <w:p w:rsidR="0067076F" w:rsidRDefault="0067076F" w:rsidP="00DF038C">
            <w:pPr>
              <w:pStyle w:val="Default"/>
              <w:jc w:val="both"/>
            </w:pPr>
          </w:p>
          <w:p w:rsidR="00292C1B" w:rsidRPr="00D12A14" w:rsidRDefault="00A64461" w:rsidP="00DF038C">
            <w:pPr>
              <w:pStyle w:val="Default"/>
              <w:jc w:val="both"/>
            </w:pPr>
            <w:r>
              <w:t>Barnardo’s NI</w:t>
            </w:r>
            <w:r w:rsidR="00DA694B">
              <w:t xml:space="preserve"> was the successful bidder</w:t>
            </w:r>
            <w:r w:rsidR="0067076F">
              <w:t xml:space="preserve"> and delivered the engagement strategy product to the SBNI in </w:t>
            </w:r>
            <w:r w:rsidR="00D12A14">
              <w:t>June 2021 and will be presented to t</w:t>
            </w:r>
            <w:r w:rsidR="00816ADF">
              <w:t>he SBNI Board for approval in September 2021</w:t>
            </w:r>
          </w:p>
          <w:p w:rsidR="0067076F" w:rsidRDefault="0067076F" w:rsidP="00DF038C">
            <w:pPr>
              <w:pStyle w:val="Default"/>
              <w:jc w:val="both"/>
            </w:pPr>
          </w:p>
          <w:p w:rsidR="00872E49" w:rsidRDefault="00872E49" w:rsidP="00DF038C">
            <w:pPr>
              <w:pStyle w:val="Default"/>
              <w:jc w:val="both"/>
            </w:pPr>
            <w:r w:rsidRPr="00872E49">
              <w:t>The explicit intention of the Strategy is to create a climate of, and opportunities for, communication between the Board and children and young people who may be affected by the work of SBNI. This will then be reflected in the corporate and business plans of the SBNI and the delivery workplans associated with the SBNI statutory and non-statutory committees and sub-groups. Fundamental to this, is securing the engagement of children and young people early in the planning processes to maximise the effectiveness and inclusivity of the work of the SBNI.</w:t>
            </w:r>
          </w:p>
          <w:p w:rsidR="00872E49" w:rsidRDefault="00872E49" w:rsidP="00DF038C">
            <w:pPr>
              <w:pStyle w:val="Default"/>
              <w:jc w:val="both"/>
            </w:pPr>
          </w:p>
          <w:p w:rsidR="00872E49" w:rsidRDefault="00872E49" w:rsidP="00DF038C">
            <w:pPr>
              <w:pStyle w:val="Default"/>
              <w:jc w:val="both"/>
            </w:pPr>
            <w:r w:rsidRPr="00872E49">
              <w:t>The purpose of the strategy is to ensure that the views and voices of children and young people are heard and responded to in relation to safeguarding and child protection system in Northern Ireland. The strategy will encompass the strategic aims, intentions and priorities agreed by the SBNI in its Strategic Plan 2018-2022 and beyond.</w:t>
            </w:r>
          </w:p>
          <w:p w:rsidR="00816ADF" w:rsidRDefault="00816ADF" w:rsidP="00DF038C">
            <w:pPr>
              <w:pStyle w:val="Default"/>
              <w:jc w:val="both"/>
            </w:pPr>
          </w:p>
          <w:p w:rsidR="00DF038C" w:rsidRDefault="00DF038C" w:rsidP="00DF038C">
            <w:pPr>
              <w:pStyle w:val="Default"/>
              <w:jc w:val="both"/>
            </w:pPr>
            <w:r>
              <w:t xml:space="preserve">Additionally, the following statistics were used to inform this equality </w:t>
            </w:r>
            <w:r>
              <w:lastRenderedPageBreak/>
              <w:t>screening:</w:t>
            </w:r>
          </w:p>
          <w:p w:rsidR="00154414" w:rsidRDefault="00154414" w:rsidP="005E0187">
            <w:pPr>
              <w:pStyle w:val="Default"/>
              <w:numPr>
                <w:ilvl w:val="0"/>
                <w:numId w:val="4"/>
              </w:numPr>
              <w:jc w:val="both"/>
            </w:pPr>
            <w:r>
              <w:t>SBNI Statistics Snapshot 2019-2020</w:t>
            </w:r>
          </w:p>
          <w:p w:rsidR="00EE0C45" w:rsidRDefault="00EE0C45" w:rsidP="005E0187">
            <w:pPr>
              <w:pStyle w:val="Default"/>
              <w:numPr>
                <w:ilvl w:val="0"/>
                <w:numId w:val="4"/>
              </w:numPr>
              <w:jc w:val="both"/>
            </w:pPr>
            <w:r>
              <w:t xml:space="preserve">2011 Census published by the Northern Ireland Statistics and Research Agency </w:t>
            </w:r>
          </w:p>
          <w:p w:rsidR="00EE0C45" w:rsidRDefault="00EE0C45" w:rsidP="005E0187">
            <w:pPr>
              <w:pStyle w:val="Default"/>
              <w:numPr>
                <w:ilvl w:val="0"/>
                <w:numId w:val="4"/>
              </w:numPr>
              <w:jc w:val="both"/>
            </w:pPr>
            <w:r>
              <w:t>Northern Ireland Statistical Research Agency</w:t>
            </w:r>
            <w:r w:rsidR="00552EC1">
              <w:t xml:space="preserve"> Mid-Year Population Estimates for Northern Ireland 11 June 2020 release</w:t>
            </w:r>
          </w:p>
          <w:p w:rsidR="00EE0C45" w:rsidRDefault="00EE0C45" w:rsidP="005E0187">
            <w:pPr>
              <w:pStyle w:val="Default"/>
              <w:numPr>
                <w:ilvl w:val="0"/>
                <w:numId w:val="4"/>
              </w:numPr>
              <w:jc w:val="both"/>
            </w:pPr>
            <w:r>
              <w:t>Department of Health Children’s Social C</w:t>
            </w:r>
            <w:r w:rsidR="00552EC1">
              <w:t>are Statistics for Northern Ireland</w:t>
            </w:r>
            <w:r w:rsidR="00666056">
              <w:t xml:space="preserve"> 2019-2020</w:t>
            </w:r>
          </w:p>
          <w:p w:rsidR="00EE0C45" w:rsidRDefault="00666056" w:rsidP="005E0187">
            <w:pPr>
              <w:pStyle w:val="Default"/>
              <w:numPr>
                <w:ilvl w:val="0"/>
                <w:numId w:val="4"/>
              </w:numPr>
              <w:jc w:val="both"/>
              <w:rPr>
                <w:bCs/>
              </w:rPr>
            </w:pPr>
            <w:r w:rsidRPr="00666056">
              <w:rPr>
                <w:bCs/>
              </w:rPr>
              <w:t>Department of Education School Enrolments 2019-2020 statistical bulletins</w:t>
            </w:r>
          </w:p>
          <w:p w:rsidR="00E05FBE" w:rsidRDefault="00E05FBE" w:rsidP="005E0187">
            <w:pPr>
              <w:pStyle w:val="Default"/>
              <w:numPr>
                <w:ilvl w:val="0"/>
                <w:numId w:val="4"/>
              </w:numPr>
              <w:jc w:val="both"/>
              <w:rPr>
                <w:bCs/>
              </w:rPr>
            </w:pPr>
            <w:r>
              <w:rPr>
                <w:bCs/>
              </w:rPr>
              <w:t>NI Young Life and Times Survey 2019 – Religion</w:t>
            </w:r>
          </w:p>
          <w:p w:rsidR="00E05FBE" w:rsidRPr="00666056" w:rsidRDefault="00E05FBE" w:rsidP="00E05FBE">
            <w:pPr>
              <w:pStyle w:val="Default"/>
              <w:ind w:left="510"/>
              <w:jc w:val="both"/>
              <w:rPr>
                <w:bCs/>
              </w:rPr>
            </w:pPr>
          </w:p>
        </w:tc>
      </w:tr>
    </w:tbl>
    <w:p w:rsidR="003B0260" w:rsidRDefault="003B0260" w:rsidP="003E0C55">
      <w:pPr>
        <w:spacing w:after="0"/>
        <w:jc w:val="both"/>
        <w:rPr>
          <w:rFonts w:cs="Arial"/>
          <w:b/>
          <w:bCs/>
          <w:sz w:val="24"/>
        </w:rPr>
      </w:pPr>
    </w:p>
    <w:p w:rsidR="0067076F" w:rsidRPr="003E0C55" w:rsidRDefault="0067076F" w:rsidP="003E0C55">
      <w:pPr>
        <w:spacing w:after="0"/>
        <w:jc w:val="both"/>
        <w:rPr>
          <w:rFonts w:cs="Arial"/>
          <w:sz w:val="24"/>
        </w:rPr>
      </w:pPr>
    </w:p>
    <w:p w:rsidR="0087304B" w:rsidRPr="003E0C55" w:rsidRDefault="0087304B" w:rsidP="005E0187">
      <w:pPr>
        <w:numPr>
          <w:ilvl w:val="1"/>
          <w:numId w:val="1"/>
        </w:numPr>
        <w:jc w:val="both"/>
        <w:rPr>
          <w:rFonts w:cs="Arial"/>
          <w:b/>
          <w:sz w:val="24"/>
        </w:rPr>
      </w:pPr>
      <w:r w:rsidRPr="003E0C55">
        <w:rPr>
          <w:rFonts w:cs="Arial"/>
          <w:b/>
          <w:sz w:val="24"/>
        </w:rPr>
        <w:t>Quantitative Data</w:t>
      </w:r>
    </w:p>
    <w:p w:rsidR="0087304B" w:rsidRPr="003E0C55" w:rsidRDefault="0087304B" w:rsidP="003E0C55">
      <w:pPr>
        <w:spacing w:after="0"/>
        <w:ind w:left="700"/>
        <w:jc w:val="both"/>
        <w:rPr>
          <w:rFonts w:cs="Arial"/>
          <w:b/>
          <w:sz w:val="24"/>
        </w:rPr>
      </w:pPr>
      <w:r w:rsidRPr="003E0C55">
        <w:rPr>
          <w:rFonts w:cs="Arial"/>
          <w:b/>
          <w:sz w:val="24"/>
        </w:rPr>
        <w:t>Who is affected by the policy or decision? Please provide a statistical profile. Note if policy affects both staff and service users, please provide profile for both.</w:t>
      </w:r>
    </w:p>
    <w:p w:rsidR="0087304B" w:rsidRPr="003E0C55" w:rsidRDefault="0087304B" w:rsidP="003E0C55">
      <w:pPr>
        <w:spacing w:after="0"/>
        <w:jc w:val="both"/>
        <w:rPr>
          <w:rFonts w:cs="Arial"/>
          <w:sz w:val="24"/>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61"/>
      </w:tblGrid>
      <w:tr w:rsidR="0087304B" w:rsidRPr="003E0C55" w:rsidTr="00C52FA1">
        <w:tc>
          <w:tcPr>
            <w:tcW w:w="1668" w:type="dxa"/>
            <w:tcBorders>
              <w:bottom w:val="single" w:sz="4" w:space="0" w:color="auto"/>
            </w:tcBorders>
            <w:shd w:val="clear" w:color="auto" w:fill="B3B3B3"/>
          </w:tcPr>
          <w:p w:rsidR="0087304B" w:rsidRPr="003E0C55" w:rsidRDefault="0087304B" w:rsidP="003E0C55">
            <w:pPr>
              <w:spacing w:after="0"/>
              <w:jc w:val="both"/>
              <w:rPr>
                <w:rFonts w:cs="Arial"/>
                <w:b/>
                <w:bCs/>
                <w:i/>
                <w:iCs/>
                <w:sz w:val="24"/>
              </w:rPr>
            </w:pPr>
            <w:r w:rsidRPr="003E0C55">
              <w:rPr>
                <w:rFonts w:cs="Arial"/>
                <w:b/>
                <w:bCs/>
                <w:i/>
                <w:iCs/>
                <w:sz w:val="24"/>
              </w:rPr>
              <w:t>Category</w:t>
            </w:r>
          </w:p>
          <w:p w:rsidR="0087304B" w:rsidRPr="003E0C55" w:rsidRDefault="0087304B" w:rsidP="003E0C55">
            <w:pPr>
              <w:spacing w:after="0"/>
              <w:jc w:val="both"/>
              <w:rPr>
                <w:rFonts w:cs="Arial"/>
                <w:sz w:val="24"/>
              </w:rPr>
            </w:pPr>
          </w:p>
        </w:tc>
        <w:tc>
          <w:tcPr>
            <w:tcW w:w="8561" w:type="dxa"/>
            <w:shd w:val="clear" w:color="auto" w:fill="B3B3B3"/>
          </w:tcPr>
          <w:p w:rsidR="0087304B" w:rsidRPr="003E0C55" w:rsidRDefault="0087304B" w:rsidP="003E0C55">
            <w:pPr>
              <w:spacing w:after="0"/>
              <w:jc w:val="both"/>
              <w:rPr>
                <w:rFonts w:cs="Arial"/>
                <w:b/>
                <w:i/>
                <w:sz w:val="24"/>
              </w:rPr>
            </w:pPr>
            <w:r w:rsidRPr="003E0C55">
              <w:rPr>
                <w:rFonts w:cs="Arial"/>
                <w:b/>
                <w:i/>
                <w:sz w:val="24"/>
              </w:rPr>
              <w:t>What is the m</w:t>
            </w:r>
            <w:r w:rsidR="00DF038C">
              <w:rPr>
                <w:rFonts w:cs="Arial"/>
                <w:b/>
                <w:i/>
                <w:sz w:val="24"/>
              </w:rPr>
              <w:t>akeup of the affected group? (</w:t>
            </w:r>
            <w:r w:rsidRPr="003E0C55">
              <w:rPr>
                <w:rFonts w:cs="Arial"/>
                <w:b/>
                <w:i/>
                <w:sz w:val="24"/>
              </w:rPr>
              <w:t>%) Are there any issues or problems? For example, a lower uptake that needs to be addressed or greater involvement of a particular group?</w:t>
            </w:r>
          </w:p>
        </w:tc>
      </w:tr>
      <w:tr w:rsidR="0087304B" w:rsidRPr="003E0C55" w:rsidTr="00C52FA1">
        <w:tc>
          <w:tcPr>
            <w:tcW w:w="1668" w:type="dxa"/>
            <w:shd w:val="clear" w:color="auto" w:fill="E6E6E6"/>
          </w:tcPr>
          <w:p w:rsidR="0087304B" w:rsidRPr="003E0C55" w:rsidRDefault="0087304B" w:rsidP="003E0C55">
            <w:pPr>
              <w:spacing w:after="0"/>
              <w:jc w:val="both"/>
              <w:rPr>
                <w:rFonts w:cs="Arial"/>
                <w:sz w:val="24"/>
              </w:rPr>
            </w:pPr>
            <w:r w:rsidRPr="003E0C55">
              <w:rPr>
                <w:rFonts w:cs="Arial"/>
                <w:sz w:val="24"/>
              </w:rPr>
              <w:t>Gender</w:t>
            </w:r>
          </w:p>
          <w:p w:rsidR="0087304B" w:rsidRPr="003E0C55" w:rsidRDefault="0087304B" w:rsidP="003E0C55">
            <w:pPr>
              <w:spacing w:after="0"/>
              <w:jc w:val="both"/>
              <w:rPr>
                <w:rFonts w:cs="Arial"/>
                <w:sz w:val="24"/>
              </w:rPr>
            </w:pPr>
          </w:p>
        </w:tc>
        <w:tc>
          <w:tcPr>
            <w:tcW w:w="8561" w:type="dxa"/>
          </w:tcPr>
          <w:p w:rsidR="009D302C" w:rsidRDefault="009D302C" w:rsidP="009D302C">
            <w:pPr>
              <w:spacing w:after="0"/>
              <w:jc w:val="both"/>
              <w:rPr>
                <w:rFonts w:cs="Arial"/>
                <w:color w:val="000000"/>
                <w:sz w:val="24"/>
                <w:lang w:eastAsia="en-GB"/>
              </w:rPr>
            </w:pPr>
            <w:r w:rsidRPr="00154414">
              <w:rPr>
                <w:rFonts w:cs="Arial"/>
                <w:b/>
                <w:color w:val="000000"/>
                <w:sz w:val="24"/>
                <w:lang w:eastAsia="en-GB"/>
              </w:rPr>
              <w:t>SBNI Statistics</w:t>
            </w:r>
            <w:r>
              <w:rPr>
                <w:rFonts w:cs="Arial"/>
                <w:color w:val="000000"/>
                <w:sz w:val="24"/>
                <w:lang w:eastAsia="en-GB"/>
              </w:rPr>
              <w:t>:</w:t>
            </w:r>
          </w:p>
          <w:p w:rsidR="009D302C" w:rsidRDefault="009D302C" w:rsidP="009D302C">
            <w:pPr>
              <w:spacing w:after="0"/>
              <w:jc w:val="both"/>
              <w:rPr>
                <w:rFonts w:cs="Arial"/>
                <w:color w:val="000000"/>
                <w:sz w:val="24"/>
                <w:lang w:eastAsia="en-GB"/>
              </w:rPr>
            </w:pPr>
            <w:r>
              <w:rPr>
                <w:rFonts w:cs="Arial"/>
                <w:color w:val="000000"/>
                <w:sz w:val="24"/>
                <w:lang w:eastAsia="en-GB"/>
              </w:rPr>
              <w:t>1.893,700 – people in Northern Ireland</w:t>
            </w:r>
          </w:p>
          <w:p w:rsidR="009D302C" w:rsidRDefault="009D302C" w:rsidP="009D302C">
            <w:pPr>
              <w:spacing w:after="0"/>
              <w:jc w:val="both"/>
              <w:rPr>
                <w:rFonts w:cs="Arial"/>
                <w:color w:val="000000"/>
                <w:sz w:val="24"/>
                <w:lang w:eastAsia="en-GB"/>
              </w:rPr>
            </w:pPr>
            <w:r>
              <w:rPr>
                <w:rFonts w:cs="Arial"/>
                <w:color w:val="000000"/>
                <w:sz w:val="24"/>
                <w:lang w:eastAsia="en-GB"/>
              </w:rPr>
              <w:t>961,000 (50.7%) – female</w:t>
            </w:r>
          </w:p>
          <w:p w:rsidR="009D302C" w:rsidRDefault="009D302C" w:rsidP="009D302C">
            <w:pPr>
              <w:spacing w:after="0"/>
              <w:jc w:val="both"/>
              <w:rPr>
                <w:rFonts w:cs="Arial"/>
                <w:color w:val="000000"/>
                <w:sz w:val="24"/>
                <w:lang w:eastAsia="en-GB"/>
              </w:rPr>
            </w:pPr>
            <w:r>
              <w:rPr>
                <w:rFonts w:cs="Arial"/>
                <w:color w:val="000000"/>
                <w:sz w:val="24"/>
                <w:lang w:eastAsia="en-GB"/>
              </w:rPr>
              <w:t>932,700 (49.3&amp;) - male</w:t>
            </w:r>
          </w:p>
          <w:p w:rsidR="009D302C" w:rsidRDefault="009D302C" w:rsidP="009D302C">
            <w:pPr>
              <w:spacing w:after="0"/>
              <w:jc w:val="both"/>
              <w:rPr>
                <w:rFonts w:cs="Arial"/>
                <w:color w:val="000000"/>
                <w:sz w:val="24"/>
                <w:lang w:eastAsia="en-GB"/>
              </w:rPr>
            </w:pPr>
          </w:p>
          <w:p w:rsidR="005E0187" w:rsidRPr="005E0187" w:rsidRDefault="005E0187" w:rsidP="009D302C">
            <w:pPr>
              <w:spacing w:after="0"/>
              <w:jc w:val="both"/>
              <w:rPr>
                <w:rFonts w:cs="Arial"/>
                <w:b/>
                <w:color w:val="000000"/>
                <w:sz w:val="24"/>
                <w:lang w:eastAsia="en-GB"/>
              </w:rPr>
            </w:pPr>
            <w:r w:rsidRPr="005E0187">
              <w:rPr>
                <w:rFonts w:cs="Arial"/>
                <w:b/>
                <w:color w:val="000000"/>
                <w:sz w:val="24"/>
                <w:lang w:eastAsia="en-GB"/>
              </w:rPr>
              <w:t>Population Statistics:</w:t>
            </w:r>
          </w:p>
          <w:p w:rsidR="00FA5878" w:rsidRDefault="00FA5878" w:rsidP="00FA5878">
            <w:pPr>
              <w:spacing w:after="0"/>
              <w:jc w:val="both"/>
              <w:rPr>
                <w:rFonts w:cs="Arial"/>
                <w:color w:val="000000"/>
                <w:sz w:val="24"/>
              </w:rPr>
            </w:pPr>
          </w:p>
          <w:p w:rsidR="00FA5878" w:rsidRPr="00FA5878" w:rsidRDefault="00FA5878" w:rsidP="00FA5878">
            <w:pPr>
              <w:spacing w:after="0"/>
              <w:jc w:val="both"/>
              <w:rPr>
                <w:rFonts w:cs="Arial"/>
                <w:color w:val="000000"/>
                <w:sz w:val="24"/>
              </w:rPr>
            </w:pPr>
            <w:r w:rsidRPr="00FA5878">
              <w:rPr>
                <w:rFonts w:cs="Arial"/>
                <w:color w:val="000000"/>
                <w:sz w:val="24"/>
              </w:rPr>
              <w:t>Transgender Research suggests for the Northern Ireland population as a whole:</w:t>
            </w:r>
          </w:p>
          <w:p w:rsidR="00FA5878" w:rsidRPr="00FA5878" w:rsidRDefault="00FA5878" w:rsidP="00FA5878">
            <w:pPr>
              <w:pStyle w:val="ListParagraph"/>
              <w:numPr>
                <w:ilvl w:val="0"/>
                <w:numId w:val="4"/>
              </w:numPr>
              <w:spacing w:after="0"/>
              <w:jc w:val="both"/>
              <w:rPr>
                <w:rFonts w:ascii="Arial" w:hAnsi="Arial" w:cs="Arial"/>
                <w:color w:val="000000"/>
                <w:sz w:val="24"/>
              </w:rPr>
            </w:pPr>
            <w:r w:rsidRPr="00FA5878">
              <w:rPr>
                <w:rFonts w:ascii="Arial" w:hAnsi="Arial" w:cs="Arial"/>
                <w:color w:val="000000"/>
                <w:sz w:val="24"/>
              </w:rPr>
              <w:t>140-160 individuals are affiliated with transgender groups</w:t>
            </w:r>
          </w:p>
          <w:p w:rsidR="00FA5878" w:rsidRPr="00FA5878" w:rsidRDefault="00FA5878" w:rsidP="00FA5878">
            <w:pPr>
              <w:pStyle w:val="ListParagraph"/>
              <w:numPr>
                <w:ilvl w:val="0"/>
                <w:numId w:val="4"/>
              </w:numPr>
              <w:spacing w:after="0"/>
              <w:jc w:val="both"/>
              <w:rPr>
                <w:rFonts w:ascii="Arial" w:hAnsi="Arial" w:cs="Arial"/>
                <w:color w:val="000000"/>
                <w:sz w:val="24"/>
              </w:rPr>
            </w:pPr>
            <w:r w:rsidRPr="00FA5878">
              <w:rPr>
                <w:rFonts w:ascii="Arial" w:hAnsi="Arial" w:cs="Arial"/>
                <w:color w:val="000000"/>
                <w:sz w:val="24"/>
              </w:rPr>
              <w:t>120 individuals have presented with Gender Identity Dysphoria</w:t>
            </w:r>
          </w:p>
          <w:p w:rsidR="00FA5878" w:rsidRPr="00FA5878" w:rsidRDefault="00FA5878" w:rsidP="00FA5878">
            <w:pPr>
              <w:pStyle w:val="ListParagraph"/>
              <w:numPr>
                <w:ilvl w:val="0"/>
                <w:numId w:val="4"/>
              </w:numPr>
              <w:spacing w:after="0"/>
              <w:jc w:val="both"/>
              <w:rPr>
                <w:rFonts w:ascii="Arial" w:hAnsi="Arial" w:cs="Arial"/>
                <w:color w:val="000000"/>
                <w:sz w:val="24"/>
              </w:rPr>
            </w:pPr>
            <w:r w:rsidRPr="00FA5878">
              <w:rPr>
                <w:rFonts w:ascii="Arial" w:hAnsi="Arial" w:cs="Arial"/>
                <w:color w:val="000000"/>
                <w:sz w:val="24"/>
              </w:rPr>
              <w:t>There are more trans</w:t>
            </w:r>
            <w:r w:rsidR="002E0DC0">
              <w:rPr>
                <w:rFonts w:ascii="Arial" w:hAnsi="Arial" w:cs="Arial"/>
                <w:color w:val="000000"/>
                <w:sz w:val="24"/>
              </w:rPr>
              <w:t>gender</w:t>
            </w:r>
            <w:r w:rsidRPr="00FA5878">
              <w:rPr>
                <w:rFonts w:ascii="Arial" w:hAnsi="Arial" w:cs="Arial"/>
                <w:color w:val="000000"/>
                <w:sz w:val="24"/>
              </w:rPr>
              <w:t xml:space="preserve"> women than trans</w:t>
            </w:r>
            <w:r w:rsidR="002E0DC0">
              <w:rPr>
                <w:rFonts w:ascii="Arial" w:hAnsi="Arial" w:cs="Arial"/>
                <w:color w:val="000000"/>
                <w:sz w:val="24"/>
              </w:rPr>
              <w:t>gender</w:t>
            </w:r>
            <w:r w:rsidRPr="00FA5878">
              <w:rPr>
                <w:rFonts w:ascii="Arial" w:hAnsi="Arial" w:cs="Arial"/>
                <w:color w:val="000000"/>
                <w:sz w:val="24"/>
              </w:rPr>
              <w:t xml:space="preserve"> men living in Northern Ireland</w:t>
            </w:r>
            <w:r w:rsidRPr="00FA5878">
              <w:rPr>
                <w:rFonts w:cs="Arial"/>
                <w:color w:val="000000"/>
                <w:sz w:val="24"/>
              </w:rPr>
              <w:t>.</w:t>
            </w:r>
          </w:p>
          <w:p w:rsidR="00F20997" w:rsidRDefault="005E0187" w:rsidP="005E0187">
            <w:pPr>
              <w:spacing w:after="0"/>
              <w:jc w:val="both"/>
              <w:rPr>
                <w:rFonts w:cs="Arial"/>
                <w:color w:val="000000"/>
                <w:sz w:val="24"/>
              </w:rPr>
            </w:pPr>
            <w:r w:rsidRPr="00FA5878">
              <w:rPr>
                <w:rFonts w:cs="Arial"/>
                <w:color w:val="000000"/>
                <w:sz w:val="24"/>
              </w:rPr>
              <w:t>.</w:t>
            </w:r>
          </w:p>
          <w:p w:rsidR="00F20997" w:rsidRPr="00F20997" w:rsidRDefault="00F20997" w:rsidP="00F20997">
            <w:pPr>
              <w:spacing w:after="0"/>
              <w:jc w:val="both"/>
              <w:rPr>
                <w:rFonts w:cs="Arial"/>
                <w:color w:val="000000"/>
                <w:sz w:val="24"/>
                <w:lang w:eastAsia="en-GB"/>
              </w:rPr>
            </w:pPr>
            <w:r w:rsidRPr="00F20997">
              <w:rPr>
                <w:rFonts w:cs="Arial"/>
                <w:color w:val="000000"/>
                <w:sz w:val="24"/>
                <w:lang w:eastAsia="en-GB"/>
              </w:rPr>
              <w:t>(McBride, Ruari Santiago (2011): Healthcare Issues for Transgender People Living in Northern Ireland. Institute for Conflict Research.)</w:t>
            </w:r>
          </w:p>
          <w:p w:rsidR="00F20997" w:rsidRPr="00F20997" w:rsidRDefault="00F20997" w:rsidP="00F20997">
            <w:pPr>
              <w:spacing w:after="0"/>
              <w:jc w:val="both"/>
              <w:rPr>
                <w:rFonts w:cs="Arial"/>
                <w:color w:val="000000"/>
                <w:sz w:val="24"/>
                <w:lang w:eastAsia="en-GB"/>
              </w:rPr>
            </w:pPr>
            <w:r w:rsidRPr="00F20997">
              <w:rPr>
                <w:rFonts w:cs="Arial"/>
                <w:color w:val="000000"/>
                <w:sz w:val="24"/>
                <w:lang w:eastAsia="en-GB"/>
              </w:rPr>
              <w:t>The Gender Identity Research and Education Society (GIRES) estimate the number of gender nonconforming employees and service users, based on the information that 7 GIRES assembled for the Home Office (2011) and subsequently updated (2014):</w:t>
            </w:r>
          </w:p>
          <w:p w:rsidR="00F20997" w:rsidRPr="00F20997" w:rsidRDefault="00F20997" w:rsidP="00F20997">
            <w:pPr>
              <w:pStyle w:val="ListParagraph"/>
              <w:numPr>
                <w:ilvl w:val="0"/>
                <w:numId w:val="4"/>
              </w:numPr>
              <w:spacing w:after="0"/>
              <w:jc w:val="both"/>
              <w:rPr>
                <w:rFonts w:ascii="Arial" w:hAnsi="Arial" w:cs="Arial"/>
                <w:color w:val="000000"/>
                <w:sz w:val="24"/>
              </w:rPr>
            </w:pPr>
            <w:r w:rsidRPr="00F20997">
              <w:rPr>
                <w:rFonts w:ascii="Arial" w:hAnsi="Arial" w:cs="Arial"/>
                <w:color w:val="000000"/>
                <w:sz w:val="24"/>
              </w:rPr>
              <w:t>gender variant to some degree 1%</w:t>
            </w:r>
          </w:p>
          <w:p w:rsidR="00F20997" w:rsidRPr="00F20997" w:rsidRDefault="00F20997" w:rsidP="00F20997">
            <w:pPr>
              <w:pStyle w:val="ListParagraph"/>
              <w:numPr>
                <w:ilvl w:val="0"/>
                <w:numId w:val="4"/>
              </w:numPr>
              <w:spacing w:after="0"/>
              <w:jc w:val="both"/>
              <w:rPr>
                <w:rFonts w:ascii="Arial" w:hAnsi="Arial" w:cs="Arial"/>
                <w:color w:val="000000"/>
                <w:sz w:val="24"/>
              </w:rPr>
            </w:pPr>
            <w:r w:rsidRPr="00F20997">
              <w:rPr>
                <w:rFonts w:ascii="Arial" w:hAnsi="Arial" w:cs="Arial"/>
                <w:color w:val="000000"/>
                <w:sz w:val="24"/>
              </w:rPr>
              <w:t>have sought some medical care 0.025%</w:t>
            </w:r>
          </w:p>
          <w:p w:rsidR="00F20997" w:rsidRPr="00F20997" w:rsidRDefault="00F20997" w:rsidP="00F20997">
            <w:pPr>
              <w:pStyle w:val="ListParagraph"/>
              <w:numPr>
                <w:ilvl w:val="0"/>
                <w:numId w:val="4"/>
              </w:numPr>
              <w:spacing w:after="0"/>
              <w:jc w:val="both"/>
              <w:rPr>
                <w:rFonts w:ascii="Arial" w:hAnsi="Arial" w:cs="Arial"/>
                <w:color w:val="000000"/>
                <w:sz w:val="24"/>
              </w:rPr>
            </w:pPr>
            <w:r w:rsidRPr="00F20997">
              <w:rPr>
                <w:rFonts w:ascii="Arial" w:hAnsi="Arial" w:cs="Arial"/>
                <w:color w:val="000000"/>
                <w:sz w:val="24"/>
              </w:rPr>
              <w:t>having already undergone transition 0.015%</w:t>
            </w:r>
          </w:p>
          <w:p w:rsidR="00222D14" w:rsidRDefault="00F20997" w:rsidP="00F20997">
            <w:pPr>
              <w:spacing w:before="100" w:beforeAutospacing="1" w:after="100" w:afterAutospacing="1"/>
              <w:jc w:val="both"/>
              <w:rPr>
                <w:rFonts w:cs="Arial"/>
                <w:color w:val="000000"/>
                <w:sz w:val="24"/>
                <w:lang w:eastAsia="en-GB"/>
              </w:rPr>
            </w:pPr>
            <w:r w:rsidRPr="00F20997">
              <w:rPr>
                <w:rFonts w:cs="Arial"/>
                <w:color w:val="000000"/>
                <w:sz w:val="24"/>
                <w:lang w:eastAsia="en-GB"/>
              </w:rPr>
              <w:lastRenderedPageBreak/>
              <w:t>The numbers who have sought tre</w:t>
            </w:r>
            <w:r>
              <w:rPr>
                <w:rFonts w:cs="Arial"/>
                <w:color w:val="000000"/>
                <w:sz w:val="24"/>
                <w:lang w:eastAsia="en-GB"/>
              </w:rPr>
              <w:t xml:space="preserve">atment seems likely to continue </w:t>
            </w:r>
            <w:r w:rsidRPr="00F20997">
              <w:rPr>
                <w:rFonts w:cs="Arial"/>
                <w:color w:val="000000"/>
                <w:sz w:val="24"/>
                <w:lang w:eastAsia="en-GB"/>
              </w:rPr>
              <w:t xml:space="preserve">growing at 20% per annum or even faster. Few younger people present for treatment despite the fact that most gender variant adults report experiencing the condition from a very early age. Yet, presentation for treatment among youngsters is growing even more rapidly (50% p.a.). Organisations should assume that there may be nearly equal numbers of people transitioning from male to female (trans women) and from female to male (trans men). </w:t>
            </w:r>
          </w:p>
          <w:p w:rsidR="00F20997" w:rsidRPr="00F20997" w:rsidRDefault="00F20997" w:rsidP="00F20997">
            <w:pPr>
              <w:spacing w:before="100" w:beforeAutospacing="1" w:after="100" w:afterAutospacing="1"/>
              <w:jc w:val="both"/>
              <w:rPr>
                <w:rFonts w:cs="Arial"/>
                <w:color w:val="000000"/>
                <w:sz w:val="24"/>
                <w:lang w:eastAsia="en-GB"/>
              </w:rPr>
            </w:pPr>
            <w:r w:rsidRPr="00F20997">
              <w:rPr>
                <w:rFonts w:cs="Arial"/>
                <w:color w:val="000000"/>
                <w:sz w:val="24"/>
                <w:lang w:eastAsia="en-GB"/>
              </w:rPr>
              <w:t>Applying GIRES figures to NI population (using NISRA 2019 mid-year population estimates) N=1,893,700:</w:t>
            </w:r>
          </w:p>
          <w:p w:rsidR="00F20997" w:rsidRPr="00F20997" w:rsidRDefault="00F20997" w:rsidP="00F20997">
            <w:pPr>
              <w:pStyle w:val="ListParagraph"/>
              <w:numPr>
                <w:ilvl w:val="0"/>
                <w:numId w:val="4"/>
              </w:numPr>
              <w:spacing w:before="100" w:beforeAutospacing="1" w:after="100" w:afterAutospacing="1"/>
              <w:jc w:val="both"/>
              <w:rPr>
                <w:rFonts w:ascii="Arial" w:hAnsi="Arial" w:cs="Arial"/>
                <w:color w:val="000000"/>
                <w:sz w:val="24"/>
              </w:rPr>
            </w:pPr>
            <w:r w:rsidRPr="00F20997">
              <w:rPr>
                <w:rFonts w:ascii="Arial" w:hAnsi="Arial" w:cs="Arial"/>
                <w:color w:val="000000"/>
                <w:sz w:val="24"/>
              </w:rPr>
              <w:t>18,937 people who do not identify with gender assigned to them at birth</w:t>
            </w:r>
          </w:p>
          <w:p w:rsidR="00F20997" w:rsidRPr="00F20997" w:rsidRDefault="00F20997" w:rsidP="00F20997">
            <w:pPr>
              <w:pStyle w:val="ListParagraph"/>
              <w:numPr>
                <w:ilvl w:val="0"/>
                <w:numId w:val="4"/>
              </w:numPr>
              <w:spacing w:before="100" w:beforeAutospacing="1" w:after="100" w:afterAutospacing="1"/>
              <w:jc w:val="both"/>
              <w:rPr>
                <w:rFonts w:ascii="Arial" w:hAnsi="Arial" w:cs="Arial"/>
                <w:color w:val="000000"/>
                <w:sz w:val="24"/>
              </w:rPr>
            </w:pPr>
            <w:r w:rsidRPr="00F20997">
              <w:rPr>
                <w:rFonts w:ascii="Arial" w:hAnsi="Arial" w:cs="Arial"/>
                <w:color w:val="000000"/>
                <w:sz w:val="24"/>
              </w:rPr>
              <w:t>474 likely to have sought medical care</w:t>
            </w:r>
          </w:p>
          <w:p w:rsidR="00D37D91" w:rsidRPr="00F20997" w:rsidRDefault="00F20997" w:rsidP="00F20997">
            <w:pPr>
              <w:pStyle w:val="ListParagraph"/>
              <w:numPr>
                <w:ilvl w:val="0"/>
                <w:numId w:val="4"/>
              </w:numPr>
              <w:spacing w:before="100" w:beforeAutospacing="1" w:after="100" w:afterAutospacing="1"/>
              <w:jc w:val="both"/>
              <w:rPr>
                <w:rFonts w:ascii="Arial" w:hAnsi="Arial" w:cs="Arial"/>
                <w:color w:val="000000"/>
                <w:sz w:val="24"/>
              </w:rPr>
            </w:pPr>
            <w:r w:rsidRPr="00F20997">
              <w:rPr>
                <w:rFonts w:ascii="Arial" w:hAnsi="Arial" w:cs="Arial"/>
                <w:color w:val="000000"/>
                <w:sz w:val="24"/>
              </w:rPr>
              <w:t>284 likely to have undergone transition</w:t>
            </w:r>
          </w:p>
          <w:p w:rsidR="00F20997" w:rsidRPr="003E0C55" w:rsidRDefault="00F20997" w:rsidP="009D302C">
            <w:pPr>
              <w:spacing w:before="100" w:beforeAutospacing="1" w:after="100" w:afterAutospacing="1"/>
              <w:jc w:val="both"/>
              <w:rPr>
                <w:rFonts w:cs="Arial"/>
                <w:color w:val="000000"/>
                <w:sz w:val="24"/>
                <w:lang w:eastAsia="en-GB"/>
              </w:rPr>
            </w:pPr>
          </w:p>
        </w:tc>
      </w:tr>
      <w:tr w:rsidR="00C52FA1" w:rsidRPr="003E0C55" w:rsidTr="00FC2151">
        <w:tc>
          <w:tcPr>
            <w:tcW w:w="1668" w:type="dxa"/>
            <w:shd w:val="clear" w:color="auto" w:fill="E6E6E6"/>
          </w:tcPr>
          <w:p w:rsidR="00C52FA1" w:rsidRPr="003E0C55" w:rsidRDefault="00C52FA1" w:rsidP="003E0C55">
            <w:pPr>
              <w:spacing w:after="0"/>
              <w:jc w:val="both"/>
              <w:rPr>
                <w:rFonts w:cs="Arial"/>
                <w:sz w:val="24"/>
              </w:rPr>
            </w:pPr>
            <w:r w:rsidRPr="003E0C55">
              <w:rPr>
                <w:rFonts w:cs="Arial"/>
                <w:sz w:val="24"/>
              </w:rPr>
              <w:lastRenderedPageBreak/>
              <w:t>Age</w:t>
            </w:r>
          </w:p>
          <w:p w:rsidR="00C52FA1" w:rsidRPr="003E0C55" w:rsidRDefault="00C52FA1" w:rsidP="003E0C55">
            <w:pPr>
              <w:spacing w:after="0"/>
              <w:jc w:val="both"/>
              <w:rPr>
                <w:rFonts w:cs="Arial"/>
                <w:sz w:val="24"/>
              </w:rPr>
            </w:pPr>
          </w:p>
        </w:tc>
        <w:tc>
          <w:tcPr>
            <w:tcW w:w="8561" w:type="dxa"/>
          </w:tcPr>
          <w:p w:rsidR="00D37D91" w:rsidRDefault="00154414" w:rsidP="00FC2151">
            <w:pPr>
              <w:autoSpaceDE w:val="0"/>
              <w:autoSpaceDN w:val="0"/>
              <w:adjustRightInd w:val="0"/>
              <w:spacing w:after="0"/>
              <w:rPr>
                <w:rFonts w:cs="Arial"/>
                <w:b/>
                <w:sz w:val="24"/>
              </w:rPr>
            </w:pPr>
            <w:r w:rsidRPr="00154414">
              <w:rPr>
                <w:rFonts w:cs="Arial"/>
                <w:b/>
                <w:sz w:val="24"/>
              </w:rPr>
              <w:t>SBNI Statistics:</w:t>
            </w:r>
          </w:p>
          <w:p w:rsidR="00154414" w:rsidRDefault="00154414" w:rsidP="00FC2151">
            <w:pPr>
              <w:spacing w:after="0"/>
              <w:rPr>
                <w:rFonts w:cs="Arial"/>
                <w:color w:val="000000"/>
                <w:sz w:val="24"/>
                <w:lang w:eastAsia="en-GB"/>
              </w:rPr>
            </w:pPr>
            <w:r>
              <w:rPr>
                <w:rFonts w:cs="Arial"/>
                <w:color w:val="000000"/>
                <w:sz w:val="24"/>
                <w:lang w:eastAsia="en-GB"/>
              </w:rPr>
              <w:t>438,384 – children under 18 years old (23% of total NI population)</w:t>
            </w:r>
          </w:p>
          <w:p w:rsidR="00222D14" w:rsidRPr="00222D14" w:rsidRDefault="00222D14" w:rsidP="00222D14">
            <w:pPr>
              <w:pStyle w:val="ListParagraph"/>
              <w:numPr>
                <w:ilvl w:val="0"/>
                <w:numId w:val="17"/>
              </w:numPr>
              <w:spacing w:after="0"/>
              <w:rPr>
                <w:rFonts w:ascii="Arial" w:hAnsi="Arial" w:cs="Arial"/>
                <w:color w:val="000000"/>
                <w:sz w:val="24"/>
              </w:rPr>
            </w:pPr>
            <w:r w:rsidRPr="00222D14">
              <w:rPr>
                <w:rFonts w:ascii="Arial" w:hAnsi="Arial" w:cs="Arial"/>
                <w:color w:val="000000"/>
                <w:sz w:val="24"/>
              </w:rPr>
              <w:t>Children 0-4 years 124,400 - 6.87% of the total population</w:t>
            </w:r>
          </w:p>
          <w:p w:rsidR="00222D14" w:rsidRPr="00222D14" w:rsidRDefault="00222D14" w:rsidP="00222D14">
            <w:pPr>
              <w:pStyle w:val="ListParagraph"/>
              <w:numPr>
                <w:ilvl w:val="0"/>
                <w:numId w:val="17"/>
              </w:numPr>
              <w:spacing w:after="0"/>
              <w:rPr>
                <w:rFonts w:ascii="Arial" w:hAnsi="Arial" w:cs="Arial"/>
                <w:color w:val="000000"/>
                <w:sz w:val="24"/>
              </w:rPr>
            </w:pPr>
            <w:r w:rsidRPr="00222D14">
              <w:rPr>
                <w:rFonts w:ascii="Arial" w:hAnsi="Arial" w:cs="Arial"/>
                <w:color w:val="000000"/>
                <w:sz w:val="24"/>
              </w:rPr>
              <w:t>5 to 9 years – 111,300 - 6.15%</w:t>
            </w:r>
          </w:p>
          <w:p w:rsidR="00222D14" w:rsidRPr="00222D14" w:rsidRDefault="00222D14" w:rsidP="00222D14">
            <w:pPr>
              <w:pStyle w:val="ListParagraph"/>
              <w:numPr>
                <w:ilvl w:val="0"/>
                <w:numId w:val="17"/>
              </w:numPr>
              <w:spacing w:after="0"/>
              <w:rPr>
                <w:rFonts w:ascii="Arial" w:hAnsi="Arial" w:cs="Arial"/>
                <w:color w:val="000000"/>
                <w:sz w:val="24"/>
              </w:rPr>
            </w:pPr>
            <w:r w:rsidRPr="00222D14">
              <w:rPr>
                <w:rFonts w:ascii="Arial" w:hAnsi="Arial" w:cs="Arial"/>
                <w:color w:val="000000"/>
                <w:sz w:val="24"/>
              </w:rPr>
              <w:t>10 to 14 years - 119,000 – 6.57%</w:t>
            </w:r>
          </w:p>
          <w:p w:rsidR="00222D14" w:rsidRDefault="00222D14" w:rsidP="00222D14">
            <w:pPr>
              <w:pStyle w:val="ListParagraph"/>
              <w:numPr>
                <w:ilvl w:val="0"/>
                <w:numId w:val="17"/>
              </w:numPr>
              <w:spacing w:after="0"/>
              <w:rPr>
                <w:rFonts w:ascii="Arial" w:hAnsi="Arial" w:cs="Arial"/>
                <w:color w:val="000000"/>
                <w:sz w:val="24"/>
              </w:rPr>
            </w:pPr>
            <w:r w:rsidRPr="00222D14">
              <w:rPr>
                <w:rFonts w:ascii="Arial" w:hAnsi="Arial" w:cs="Arial"/>
                <w:color w:val="000000"/>
                <w:sz w:val="24"/>
              </w:rPr>
              <w:t>Young people 15 to 19 years- 126,200 – 6.97%</w:t>
            </w:r>
          </w:p>
          <w:p w:rsidR="00E81E4E" w:rsidRPr="00222D14" w:rsidRDefault="002E0DC0" w:rsidP="00222D14">
            <w:pPr>
              <w:pStyle w:val="ListParagraph"/>
              <w:numPr>
                <w:ilvl w:val="0"/>
                <w:numId w:val="17"/>
              </w:numPr>
              <w:spacing w:after="0"/>
              <w:rPr>
                <w:rFonts w:ascii="Arial" w:hAnsi="Arial" w:cs="Arial"/>
                <w:color w:val="000000"/>
                <w:sz w:val="24"/>
              </w:rPr>
            </w:pPr>
            <w:r>
              <w:rPr>
                <w:rFonts w:ascii="Arial" w:hAnsi="Arial" w:cs="Arial"/>
                <w:color w:val="000000"/>
                <w:sz w:val="24"/>
              </w:rPr>
              <w:t>Footnote</w:t>
            </w:r>
            <w:r>
              <w:rPr>
                <w:rFonts w:ascii="Arial" w:hAnsi="Arial" w:cs="Arial"/>
                <w:color w:val="000000"/>
                <w:sz w:val="24"/>
                <w:vertAlign w:val="superscript"/>
              </w:rPr>
              <w:t>1</w:t>
            </w:r>
          </w:p>
          <w:p w:rsidR="00222D14" w:rsidRDefault="00222D14" w:rsidP="00FC2151">
            <w:pPr>
              <w:spacing w:after="0"/>
              <w:rPr>
                <w:rFonts w:cs="Arial"/>
                <w:color w:val="000000"/>
                <w:sz w:val="24"/>
                <w:lang w:eastAsia="en-GB"/>
              </w:rPr>
            </w:pPr>
          </w:p>
          <w:p w:rsidR="00154414" w:rsidRDefault="00154414" w:rsidP="00FC2151">
            <w:pPr>
              <w:spacing w:after="0"/>
              <w:rPr>
                <w:rFonts w:cs="Arial"/>
                <w:color w:val="000000"/>
                <w:sz w:val="24"/>
                <w:lang w:eastAsia="en-GB"/>
              </w:rPr>
            </w:pPr>
            <w:r>
              <w:rPr>
                <w:rFonts w:cs="Arial"/>
                <w:color w:val="000000"/>
                <w:sz w:val="24"/>
                <w:lang w:eastAsia="en-GB"/>
              </w:rPr>
              <w:t>342,700 – pupils in schools</w:t>
            </w:r>
          </w:p>
          <w:p w:rsidR="00154414" w:rsidRDefault="00154414" w:rsidP="00FC2151">
            <w:pPr>
              <w:spacing w:after="0"/>
              <w:rPr>
                <w:rFonts w:cs="Arial"/>
                <w:color w:val="000000"/>
                <w:sz w:val="24"/>
                <w:lang w:eastAsia="en-GB"/>
              </w:rPr>
            </w:pPr>
            <w:r>
              <w:rPr>
                <w:rFonts w:cs="Arial"/>
                <w:color w:val="000000"/>
                <w:sz w:val="24"/>
                <w:lang w:eastAsia="en-GB"/>
              </w:rPr>
              <w:t>173,856 – pupils in primary schools</w:t>
            </w:r>
          </w:p>
          <w:p w:rsidR="00154414" w:rsidRDefault="00154414" w:rsidP="00FC2151">
            <w:pPr>
              <w:spacing w:after="0"/>
              <w:rPr>
                <w:rFonts w:cs="Arial"/>
                <w:color w:val="000000"/>
                <w:sz w:val="24"/>
                <w:lang w:eastAsia="en-GB"/>
              </w:rPr>
            </w:pPr>
            <w:r>
              <w:rPr>
                <w:rFonts w:cs="Arial"/>
                <w:color w:val="000000"/>
                <w:sz w:val="24"/>
                <w:lang w:eastAsia="en-GB"/>
              </w:rPr>
              <w:t>145,085 – pupils in post-primary schools</w:t>
            </w:r>
          </w:p>
          <w:p w:rsidR="00154414" w:rsidRDefault="00154414" w:rsidP="00FC2151">
            <w:pPr>
              <w:spacing w:after="0"/>
              <w:rPr>
                <w:rFonts w:cs="Arial"/>
                <w:color w:val="000000"/>
                <w:sz w:val="24"/>
                <w:lang w:eastAsia="en-GB"/>
              </w:rPr>
            </w:pPr>
            <w:r>
              <w:rPr>
                <w:rFonts w:cs="Arial"/>
                <w:color w:val="000000"/>
                <w:sz w:val="24"/>
                <w:lang w:eastAsia="en-GB"/>
              </w:rPr>
              <w:t xml:space="preserve">  23,759 – pupils in funded pre-school education</w:t>
            </w:r>
          </w:p>
          <w:p w:rsidR="00154414" w:rsidRDefault="00154414" w:rsidP="00FC2151">
            <w:pPr>
              <w:autoSpaceDE w:val="0"/>
              <w:autoSpaceDN w:val="0"/>
              <w:adjustRightInd w:val="0"/>
              <w:spacing w:after="0"/>
              <w:rPr>
                <w:rFonts w:cs="Arial"/>
                <w:sz w:val="24"/>
              </w:rPr>
            </w:pPr>
            <w:r w:rsidRPr="00154414">
              <w:rPr>
                <w:rFonts w:cs="Arial"/>
                <w:sz w:val="24"/>
              </w:rPr>
              <w:t>24,289 – children known to social services as a child in need</w:t>
            </w:r>
          </w:p>
          <w:p w:rsidR="005E0187" w:rsidRDefault="005E0187" w:rsidP="00FC2151">
            <w:pPr>
              <w:autoSpaceDE w:val="0"/>
              <w:autoSpaceDN w:val="0"/>
              <w:adjustRightInd w:val="0"/>
              <w:spacing w:after="0"/>
              <w:rPr>
                <w:rFonts w:cs="Arial"/>
                <w:sz w:val="24"/>
              </w:rPr>
            </w:pPr>
          </w:p>
          <w:p w:rsidR="005E0187" w:rsidRPr="00154414" w:rsidRDefault="002E0DC0" w:rsidP="002E0DC0">
            <w:pPr>
              <w:autoSpaceDE w:val="0"/>
              <w:autoSpaceDN w:val="0"/>
              <w:adjustRightInd w:val="0"/>
              <w:spacing w:after="0"/>
              <w:rPr>
                <w:rFonts w:cs="Arial"/>
                <w:sz w:val="24"/>
              </w:rPr>
            </w:pPr>
            <w:r>
              <w:rPr>
                <w:rFonts w:cs="Arial"/>
                <w:sz w:val="24"/>
                <w:vertAlign w:val="superscript"/>
              </w:rPr>
              <w:t xml:space="preserve">1 </w:t>
            </w:r>
            <w:r w:rsidR="00E81E4E" w:rsidRPr="002E0DC0">
              <w:rPr>
                <w:rFonts w:cs="Arial"/>
                <w:sz w:val="18"/>
                <w:szCs w:val="18"/>
              </w:rPr>
              <w:t xml:space="preserve">For the purpose of data collection the SBNI defines a child under 18 years old.  However it should be noted that some forms of </w:t>
            </w:r>
            <w:r w:rsidRPr="002E0DC0">
              <w:rPr>
                <w:rFonts w:cs="Arial"/>
                <w:sz w:val="18"/>
                <w:szCs w:val="18"/>
              </w:rPr>
              <w:t>engagement</w:t>
            </w:r>
            <w:r w:rsidR="00E81E4E" w:rsidRPr="002E0DC0">
              <w:rPr>
                <w:rFonts w:cs="Arial"/>
                <w:sz w:val="18"/>
                <w:szCs w:val="18"/>
              </w:rPr>
              <w:t xml:space="preserve"> that relate to </w:t>
            </w:r>
            <w:r w:rsidRPr="002E0DC0">
              <w:rPr>
                <w:rFonts w:cs="Arial"/>
                <w:sz w:val="18"/>
                <w:szCs w:val="18"/>
              </w:rPr>
              <w:t>continued</w:t>
            </w:r>
            <w:r w:rsidR="00E81E4E" w:rsidRPr="002E0DC0">
              <w:rPr>
                <w:rFonts w:cs="Arial"/>
                <w:sz w:val="18"/>
                <w:szCs w:val="18"/>
              </w:rPr>
              <w:t xml:space="preserve"> support for </w:t>
            </w:r>
            <w:r>
              <w:rPr>
                <w:rFonts w:cs="Arial"/>
                <w:sz w:val="18"/>
                <w:szCs w:val="18"/>
              </w:rPr>
              <w:t xml:space="preserve">young people </w:t>
            </w:r>
            <w:r w:rsidR="00E81E4E" w:rsidRPr="002E0DC0">
              <w:rPr>
                <w:rFonts w:cs="Arial"/>
                <w:sz w:val="18"/>
                <w:szCs w:val="18"/>
              </w:rPr>
              <w:t xml:space="preserve">who have been looked after will continue up to the age of 25 (depending on </w:t>
            </w:r>
            <w:r w:rsidRPr="002E0DC0">
              <w:rPr>
                <w:rFonts w:cs="Arial"/>
                <w:sz w:val="18"/>
                <w:szCs w:val="18"/>
              </w:rPr>
              <w:t>circumstance</w:t>
            </w:r>
            <w:r w:rsidR="00E81E4E" w:rsidRPr="002E0DC0">
              <w:rPr>
                <w:rFonts w:cs="Arial"/>
                <w:sz w:val="18"/>
                <w:szCs w:val="18"/>
              </w:rPr>
              <w:t>).</w:t>
            </w:r>
          </w:p>
        </w:tc>
      </w:tr>
      <w:tr w:rsidR="008173EA" w:rsidRPr="003E0C55" w:rsidTr="00C52FA1">
        <w:tc>
          <w:tcPr>
            <w:tcW w:w="1668" w:type="dxa"/>
            <w:shd w:val="clear" w:color="auto" w:fill="E6E6E6"/>
          </w:tcPr>
          <w:p w:rsidR="008173EA" w:rsidRPr="003E0C55" w:rsidRDefault="008173EA" w:rsidP="003E0C55">
            <w:pPr>
              <w:spacing w:after="0"/>
              <w:jc w:val="both"/>
              <w:rPr>
                <w:rFonts w:cs="Arial"/>
                <w:sz w:val="24"/>
              </w:rPr>
            </w:pPr>
            <w:r w:rsidRPr="003E0C55">
              <w:rPr>
                <w:rFonts w:cs="Arial"/>
                <w:sz w:val="24"/>
              </w:rPr>
              <w:t>Religion</w:t>
            </w:r>
          </w:p>
          <w:p w:rsidR="008173EA" w:rsidRPr="003E0C55" w:rsidRDefault="008173EA" w:rsidP="003E0C55">
            <w:pPr>
              <w:spacing w:after="0"/>
              <w:jc w:val="both"/>
              <w:rPr>
                <w:rFonts w:cs="Arial"/>
                <w:sz w:val="24"/>
              </w:rPr>
            </w:pPr>
          </w:p>
        </w:tc>
        <w:tc>
          <w:tcPr>
            <w:tcW w:w="8561" w:type="dxa"/>
          </w:tcPr>
          <w:tbl>
            <w:tblPr>
              <w:tblW w:w="0" w:type="auto"/>
              <w:tblBorders>
                <w:top w:val="nil"/>
                <w:left w:val="nil"/>
                <w:bottom w:val="nil"/>
                <w:right w:val="nil"/>
              </w:tblBorders>
              <w:tblLayout w:type="fixed"/>
              <w:tblLook w:val="0000" w:firstRow="0" w:lastRow="0" w:firstColumn="0" w:lastColumn="0" w:noHBand="0" w:noVBand="0"/>
            </w:tblPr>
            <w:tblGrid>
              <w:gridCol w:w="8028"/>
            </w:tblGrid>
            <w:tr w:rsidR="00F20997" w:rsidRPr="00F20997">
              <w:trPr>
                <w:trHeight w:val="668"/>
              </w:trPr>
              <w:tc>
                <w:tcPr>
                  <w:tcW w:w="8028" w:type="dxa"/>
                </w:tcPr>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Religion or Religion brought up in</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45.14% (817, 424) of the population were either Catholic or brought up as Catholic.</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48.36% (875, 733) stated that they were Protestant or brought up as Protestant.</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0.92% (16, 660) of the population belonged to or had been brought up in other religions and Philosophies.</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5.59% (101, 227) neither belonged to, nor had been brought up in a religion.</w:t>
                  </w:r>
                </w:p>
                <w:p w:rsidR="00F20997"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(Census 2011)</w:t>
                  </w:r>
                </w:p>
              </w:tc>
            </w:tr>
          </w:tbl>
          <w:p w:rsidR="008173EA" w:rsidRPr="003E0C55" w:rsidRDefault="008173EA" w:rsidP="003E0C55">
            <w:pPr>
              <w:autoSpaceDE w:val="0"/>
              <w:autoSpaceDN w:val="0"/>
              <w:adjustRightInd w:val="0"/>
              <w:spacing w:after="0"/>
              <w:jc w:val="both"/>
              <w:rPr>
                <w:rStyle w:val="Hyperlink"/>
                <w:rFonts w:eastAsiaTheme="minorHAnsi" w:cs="Arial"/>
                <w:sz w:val="24"/>
              </w:rPr>
            </w:pPr>
          </w:p>
          <w:p w:rsidR="00E05FBE" w:rsidRDefault="00E05FBE" w:rsidP="00E05FBE">
            <w:pPr>
              <w:spacing w:after="0"/>
              <w:jc w:val="both"/>
              <w:rPr>
                <w:rFonts w:cs="Arial"/>
                <w:sz w:val="24"/>
              </w:rPr>
            </w:pPr>
            <w:r>
              <w:rPr>
                <w:rFonts w:cs="Arial"/>
                <w:sz w:val="24"/>
              </w:rPr>
              <w:t>The NI Young Life and Times Survey 2</w:t>
            </w:r>
            <w:r w:rsidR="00451636">
              <w:rPr>
                <w:rFonts w:cs="Arial"/>
                <w:sz w:val="24"/>
              </w:rPr>
              <w:t>020-2021</w:t>
            </w:r>
            <w:r>
              <w:rPr>
                <w:rFonts w:cs="Arial"/>
                <w:sz w:val="24"/>
              </w:rPr>
              <w:t>, for those who responded to belonging to a religion, gave the following percentages:</w:t>
            </w:r>
          </w:p>
          <w:p w:rsidR="008A4454" w:rsidRPr="008A4454" w:rsidRDefault="008A4454" w:rsidP="008A4454">
            <w:pPr>
              <w:spacing w:after="0"/>
              <w:jc w:val="both"/>
              <w:rPr>
                <w:rFonts w:cs="Arial"/>
                <w:sz w:val="24"/>
              </w:rPr>
            </w:pPr>
          </w:p>
          <w:p w:rsidR="008A4454" w:rsidRPr="008A4454" w:rsidRDefault="008A4454" w:rsidP="008A4454">
            <w:pPr>
              <w:spacing w:after="0"/>
              <w:jc w:val="both"/>
              <w:rPr>
                <w:rFonts w:cs="Arial"/>
                <w:sz w:val="24"/>
              </w:rPr>
            </w:pPr>
            <w:r w:rsidRPr="008A4454">
              <w:rPr>
                <w:rFonts w:cs="Arial"/>
                <w:sz w:val="24"/>
              </w:rPr>
              <w:lastRenderedPageBreak/>
              <w:t>Church of Ireland (Anglican)</w:t>
            </w:r>
            <w:r w:rsidRPr="008A4454">
              <w:rPr>
                <w:rFonts w:cs="Arial"/>
                <w:sz w:val="24"/>
              </w:rPr>
              <w:tab/>
              <w:t>7</w:t>
            </w:r>
            <w:r>
              <w:rPr>
                <w:rFonts w:cs="Arial"/>
                <w:sz w:val="24"/>
              </w:rPr>
              <w:t>%</w:t>
            </w:r>
          </w:p>
          <w:p w:rsidR="008A4454" w:rsidRPr="008A4454" w:rsidRDefault="008A4454" w:rsidP="008A4454">
            <w:pPr>
              <w:spacing w:after="0"/>
              <w:jc w:val="both"/>
              <w:rPr>
                <w:rFonts w:cs="Arial"/>
                <w:sz w:val="24"/>
              </w:rPr>
            </w:pPr>
            <w:r w:rsidRPr="008A4454">
              <w:rPr>
                <w:rFonts w:cs="Arial"/>
                <w:sz w:val="24"/>
              </w:rPr>
              <w:t>Catholic</w:t>
            </w:r>
            <w:r w:rsidRPr="008A4454">
              <w:rPr>
                <w:rFonts w:cs="Arial"/>
                <w:sz w:val="24"/>
              </w:rPr>
              <w:tab/>
            </w:r>
            <w:r w:rsidR="00451636">
              <w:rPr>
                <w:rFonts w:cs="Arial"/>
                <w:sz w:val="24"/>
              </w:rPr>
              <w:t xml:space="preserve">                             </w:t>
            </w:r>
            <w:r w:rsidRPr="008A4454">
              <w:rPr>
                <w:rFonts w:cs="Arial"/>
                <w:sz w:val="24"/>
              </w:rPr>
              <w:t>60</w:t>
            </w:r>
            <w:r>
              <w:rPr>
                <w:rFonts w:cs="Arial"/>
                <w:sz w:val="24"/>
              </w:rPr>
              <w:t>%</w:t>
            </w:r>
          </w:p>
          <w:p w:rsidR="008A4454" w:rsidRPr="008A4454" w:rsidRDefault="008A4454" w:rsidP="008A4454">
            <w:pPr>
              <w:spacing w:after="0"/>
              <w:jc w:val="both"/>
              <w:rPr>
                <w:rFonts w:cs="Arial"/>
                <w:sz w:val="24"/>
              </w:rPr>
            </w:pPr>
            <w:r w:rsidRPr="008A4454">
              <w:rPr>
                <w:rFonts w:cs="Arial"/>
                <w:sz w:val="24"/>
              </w:rPr>
              <w:t>Presbyterian</w:t>
            </w:r>
            <w:r w:rsidRPr="008A4454">
              <w:rPr>
                <w:rFonts w:cs="Arial"/>
                <w:sz w:val="24"/>
              </w:rPr>
              <w:tab/>
            </w:r>
            <w:r w:rsidR="00451636">
              <w:rPr>
                <w:rFonts w:cs="Arial"/>
                <w:sz w:val="24"/>
              </w:rPr>
              <w:t xml:space="preserve">                             </w:t>
            </w:r>
            <w:r w:rsidRPr="008A4454">
              <w:rPr>
                <w:rFonts w:cs="Arial"/>
                <w:sz w:val="24"/>
              </w:rPr>
              <w:t>19</w:t>
            </w:r>
            <w:r>
              <w:rPr>
                <w:rFonts w:cs="Arial"/>
                <w:sz w:val="24"/>
              </w:rPr>
              <w:t>%</w:t>
            </w:r>
          </w:p>
          <w:p w:rsidR="008A4454" w:rsidRPr="008A4454" w:rsidRDefault="008A4454" w:rsidP="008A4454">
            <w:pPr>
              <w:spacing w:after="0"/>
              <w:jc w:val="both"/>
              <w:rPr>
                <w:rFonts w:cs="Arial"/>
                <w:sz w:val="24"/>
              </w:rPr>
            </w:pPr>
            <w:r w:rsidRPr="008A4454">
              <w:rPr>
                <w:rFonts w:cs="Arial"/>
                <w:sz w:val="24"/>
              </w:rPr>
              <w:t>Methodist</w:t>
            </w:r>
            <w:r w:rsidRPr="008A4454">
              <w:rPr>
                <w:rFonts w:cs="Arial"/>
                <w:sz w:val="24"/>
              </w:rPr>
              <w:tab/>
            </w:r>
            <w:r w:rsidR="00451636">
              <w:rPr>
                <w:rFonts w:cs="Arial"/>
                <w:sz w:val="24"/>
              </w:rPr>
              <w:t xml:space="preserve">                               </w:t>
            </w:r>
            <w:r w:rsidRPr="008A4454">
              <w:rPr>
                <w:rFonts w:cs="Arial"/>
                <w:sz w:val="24"/>
              </w:rPr>
              <w:t>2</w:t>
            </w:r>
            <w:r>
              <w:rPr>
                <w:rFonts w:cs="Arial"/>
                <w:sz w:val="24"/>
              </w:rPr>
              <w:t>%</w:t>
            </w:r>
          </w:p>
          <w:p w:rsidR="008A4454" w:rsidRPr="008A4454" w:rsidRDefault="008A4454" w:rsidP="008A4454">
            <w:pPr>
              <w:spacing w:after="0"/>
              <w:jc w:val="both"/>
              <w:rPr>
                <w:rFonts w:cs="Arial"/>
                <w:sz w:val="24"/>
              </w:rPr>
            </w:pPr>
            <w:r w:rsidRPr="008A4454">
              <w:rPr>
                <w:rFonts w:cs="Arial"/>
                <w:sz w:val="24"/>
              </w:rPr>
              <w:t>Baptist</w:t>
            </w:r>
            <w:r w:rsidRPr="008A4454">
              <w:rPr>
                <w:rFonts w:cs="Arial"/>
                <w:sz w:val="24"/>
              </w:rPr>
              <w:tab/>
            </w:r>
            <w:r w:rsidR="00451636">
              <w:rPr>
                <w:rFonts w:cs="Arial"/>
                <w:sz w:val="24"/>
              </w:rPr>
              <w:t xml:space="preserve">                               </w:t>
            </w:r>
            <w:r w:rsidRPr="008A4454">
              <w:rPr>
                <w:rFonts w:cs="Arial"/>
                <w:sz w:val="24"/>
              </w:rPr>
              <w:t>2</w:t>
            </w:r>
            <w:r>
              <w:rPr>
                <w:rFonts w:cs="Arial"/>
                <w:sz w:val="24"/>
              </w:rPr>
              <w:t>%</w:t>
            </w:r>
          </w:p>
          <w:p w:rsidR="008A4454" w:rsidRPr="008A4454" w:rsidRDefault="008A4454" w:rsidP="008A4454">
            <w:pPr>
              <w:spacing w:after="0"/>
              <w:jc w:val="both"/>
              <w:rPr>
                <w:rFonts w:cs="Arial"/>
                <w:sz w:val="24"/>
              </w:rPr>
            </w:pPr>
            <w:r w:rsidRPr="008A4454">
              <w:rPr>
                <w:rFonts w:cs="Arial"/>
                <w:sz w:val="24"/>
              </w:rPr>
              <w:t>Free Presbyterian</w:t>
            </w:r>
            <w:r w:rsidRPr="008A4454">
              <w:rPr>
                <w:rFonts w:cs="Arial"/>
                <w:sz w:val="24"/>
              </w:rPr>
              <w:tab/>
            </w:r>
            <w:r w:rsidR="00451636">
              <w:rPr>
                <w:rFonts w:cs="Arial"/>
                <w:sz w:val="24"/>
              </w:rPr>
              <w:t xml:space="preserve">                     </w:t>
            </w:r>
            <w:r w:rsidRPr="008A4454">
              <w:rPr>
                <w:rFonts w:cs="Arial"/>
                <w:sz w:val="24"/>
              </w:rPr>
              <w:t>2</w:t>
            </w:r>
            <w:r>
              <w:rPr>
                <w:rFonts w:cs="Arial"/>
                <w:sz w:val="24"/>
              </w:rPr>
              <w:t>%</w:t>
            </w:r>
          </w:p>
          <w:p w:rsidR="008A4454" w:rsidRPr="008A4454" w:rsidRDefault="008A4454" w:rsidP="008A4454">
            <w:pPr>
              <w:spacing w:after="0"/>
              <w:jc w:val="both"/>
              <w:rPr>
                <w:rFonts w:cs="Arial"/>
                <w:sz w:val="24"/>
              </w:rPr>
            </w:pPr>
            <w:r w:rsidRPr="008A4454">
              <w:rPr>
                <w:rFonts w:cs="Arial"/>
                <w:sz w:val="24"/>
              </w:rPr>
              <w:t>Brethren</w:t>
            </w:r>
            <w:r w:rsidRPr="008A4454">
              <w:rPr>
                <w:rFonts w:cs="Arial"/>
                <w:sz w:val="24"/>
              </w:rPr>
              <w:tab/>
            </w:r>
            <w:r w:rsidR="00451636">
              <w:rPr>
                <w:rFonts w:cs="Arial"/>
                <w:sz w:val="24"/>
              </w:rPr>
              <w:t xml:space="preserve">                               </w:t>
            </w:r>
            <w:r w:rsidRPr="008A4454">
              <w:rPr>
                <w:rFonts w:cs="Arial"/>
                <w:sz w:val="24"/>
              </w:rPr>
              <w:t>1</w:t>
            </w:r>
            <w:r>
              <w:rPr>
                <w:rFonts w:cs="Arial"/>
                <w:sz w:val="24"/>
              </w:rPr>
              <w:t>%</w:t>
            </w:r>
          </w:p>
          <w:p w:rsidR="008A4454" w:rsidRPr="008A4454" w:rsidRDefault="008A4454" w:rsidP="008A4454">
            <w:pPr>
              <w:spacing w:after="0"/>
              <w:jc w:val="both"/>
              <w:rPr>
                <w:rFonts w:cs="Arial"/>
                <w:sz w:val="24"/>
              </w:rPr>
            </w:pPr>
            <w:r w:rsidRPr="008A4454">
              <w:rPr>
                <w:rFonts w:cs="Arial"/>
                <w:sz w:val="24"/>
              </w:rPr>
              <w:t>Muslim</w:t>
            </w:r>
            <w:r w:rsidRPr="008A4454">
              <w:rPr>
                <w:rFonts w:cs="Arial"/>
                <w:sz w:val="24"/>
              </w:rPr>
              <w:tab/>
            </w:r>
            <w:r w:rsidR="00451636">
              <w:rPr>
                <w:rFonts w:cs="Arial"/>
                <w:sz w:val="24"/>
              </w:rPr>
              <w:t xml:space="preserve">                               </w:t>
            </w:r>
            <w:r w:rsidRPr="008A4454">
              <w:rPr>
                <w:rFonts w:cs="Arial"/>
                <w:sz w:val="24"/>
              </w:rPr>
              <w:t>2</w:t>
            </w:r>
            <w:r>
              <w:rPr>
                <w:rFonts w:cs="Arial"/>
                <w:sz w:val="24"/>
              </w:rPr>
              <w:t>%</w:t>
            </w:r>
          </w:p>
          <w:p w:rsidR="008A4454" w:rsidRDefault="008A4454" w:rsidP="008A4454">
            <w:pPr>
              <w:spacing w:after="0"/>
              <w:jc w:val="both"/>
              <w:rPr>
                <w:rFonts w:cs="Arial"/>
                <w:sz w:val="24"/>
              </w:rPr>
            </w:pPr>
            <w:r w:rsidRPr="008A4454">
              <w:rPr>
                <w:rFonts w:cs="Arial"/>
                <w:sz w:val="24"/>
              </w:rPr>
              <w:t>Other</w:t>
            </w:r>
            <w:r w:rsidRPr="008A4454">
              <w:rPr>
                <w:rFonts w:cs="Arial"/>
                <w:sz w:val="24"/>
              </w:rPr>
              <w:tab/>
            </w:r>
            <w:r w:rsidR="00451636">
              <w:rPr>
                <w:rFonts w:cs="Arial"/>
                <w:sz w:val="24"/>
              </w:rPr>
              <w:t xml:space="preserve">                                         </w:t>
            </w:r>
            <w:r w:rsidRPr="008A4454">
              <w:rPr>
                <w:rFonts w:cs="Arial"/>
                <w:sz w:val="24"/>
              </w:rPr>
              <w:t>6</w:t>
            </w:r>
            <w:r>
              <w:rPr>
                <w:rFonts w:cs="Arial"/>
                <w:sz w:val="24"/>
              </w:rPr>
              <w:t>%</w:t>
            </w:r>
          </w:p>
          <w:p w:rsidR="00E05FBE" w:rsidRPr="003E0C55" w:rsidRDefault="00E05FBE" w:rsidP="006E7B31">
            <w:pPr>
              <w:spacing w:after="0"/>
              <w:jc w:val="both"/>
              <w:rPr>
                <w:rFonts w:cs="Arial"/>
                <w:sz w:val="24"/>
              </w:rPr>
            </w:pP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lastRenderedPageBreak/>
              <w:t>Political Opinion</w:t>
            </w:r>
          </w:p>
        </w:tc>
        <w:tc>
          <w:tcPr>
            <w:tcW w:w="8561" w:type="dxa"/>
          </w:tcPr>
          <w:p w:rsidR="00F20997" w:rsidRPr="00F20997" w:rsidRDefault="00F20997">
            <w:pPr>
              <w:pStyle w:val="Default"/>
            </w:pPr>
            <w:r w:rsidRPr="00F20997">
              <w:t xml:space="preserve">The most recently published data from the Northern Ireland Life and Times Survey (2016) on political opinion shows that: </w:t>
            </w:r>
          </w:p>
          <w:p w:rsidR="00F20997" w:rsidRPr="00F20997" w:rsidRDefault="00F20997" w:rsidP="00F20997">
            <w:pPr>
              <w:pStyle w:val="Default"/>
              <w:numPr>
                <w:ilvl w:val="0"/>
                <w:numId w:val="11"/>
              </w:numPr>
            </w:pPr>
            <w:r w:rsidRPr="00F20997">
              <w:t xml:space="preserve">Unionist 29% </w:t>
            </w:r>
          </w:p>
          <w:p w:rsidR="00F20997" w:rsidRPr="00F20997" w:rsidRDefault="00F20997" w:rsidP="00F20997">
            <w:pPr>
              <w:pStyle w:val="Default"/>
              <w:numPr>
                <w:ilvl w:val="0"/>
                <w:numId w:val="11"/>
              </w:numPr>
            </w:pPr>
            <w:r w:rsidRPr="00F20997">
              <w:t xml:space="preserve">Nationalist 24% </w:t>
            </w:r>
          </w:p>
          <w:p w:rsidR="00F20997" w:rsidRPr="00F20997" w:rsidRDefault="00F20997" w:rsidP="00F20997">
            <w:pPr>
              <w:pStyle w:val="Default"/>
              <w:numPr>
                <w:ilvl w:val="0"/>
                <w:numId w:val="11"/>
              </w:numPr>
            </w:pPr>
            <w:r w:rsidRPr="00F20997">
              <w:t xml:space="preserve">Neither 46% </w:t>
            </w:r>
          </w:p>
          <w:p w:rsidR="00F20997" w:rsidRDefault="00F20997" w:rsidP="00F20997">
            <w:pPr>
              <w:pStyle w:val="Default"/>
              <w:numPr>
                <w:ilvl w:val="0"/>
                <w:numId w:val="11"/>
              </w:numPr>
              <w:rPr>
                <w:sz w:val="28"/>
                <w:szCs w:val="28"/>
              </w:rPr>
            </w:pPr>
            <w:r w:rsidRPr="00F20997">
              <w:t>Other/ don’t know 2%.</w:t>
            </w:r>
            <w:r>
              <w:rPr>
                <w:sz w:val="28"/>
                <w:szCs w:val="28"/>
              </w:rPr>
              <w:t xml:space="preserve"> </w:t>
            </w:r>
          </w:p>
          <w:p w:rsidR="00F20997" w:rsidRDefault="00F20997" w:rsidP="00F20997">
            <w:pPr>
              <w:pStyle w:val="Default"/>
              <w:rPr>
                <w:sz w:val="28"/>
                <w:szCs w:val="28"/>
              </w:rPr>
            </w:pPr>
          </w:p>
          <w:p w:rsidR="00F20997" w:rsidRDefault="00F20997" w:rsidP="00F20997">
            <w:pPr>
              <w:pStyle w:val="Default"/>
              <w:rPr>
                <w:sz w:val="28"/>
                <w:szCs w:val="28"/>
              </w:rPr>
            </w:pP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t>Marital Status</w:t>
            </w:r>
          </w:p>
        </w:tc>
        <w:tc>
          <w:tcPr>
            <w:tcW w:w="8561" w:type="dxa"/>
          </w:tcPr>
          <w:p w:rsidR="00A211EC" w:rsidRPr="00A211EC" w:rsidRDefault="00A211EC" w:rsidP="00A211EC">
            <w:pPr>
              <w:spacing w:after="0"/>
              <w:jc w:val="both"/>
              <w:rPr>
                <w:rFonts w:cs="Arial"/>
                <w:sz w:val="24"/>
              </w:rPr>
            </w:pPr>
            <w:r w:rsidRPr="00A211EC">
              <w:rPr>
                <w:rFonts w:cs="Arial"/>
                <w:sz w:val="24"/>
              </w:rPr>
              <w:t>Northern Ireland Life and Times (2018)</w:t>
            </w:r>
          </w:p>
          <w:p w:rsidR="00A211EC" w:rsidRDefault="00A211EC" w:rsidP="00A211EC">
            <w:pPr>
              <w:spacing w:after="0"/>
              <w:jc w:val="both"/>
              <w:rPr>
                <w:rFonts w:cs="Arial"/>
                <w:sz w:val="24"/>
              </w:rPr>
            </w:pP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Single (never married) 32%</w:t>
            </w: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Married and living with husband/wife 51%</w:t>
            </w: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A civil partner in a legally-registered civil partnership 0%</w:t>
            </w: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Married and separated from husband/wife 3%</w:t>
            </w: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Divorced 6%</w:t>
            </w:r>
          </w:p>
          <w:p w:rsidR="00A211EC" w:rsidRPr="00E05FBE" w:rsidRDefault="00A211EC" w:rsidP="00E05FBE">
            <w:pPr>
              <w:pStyle w:val="ListParagraph"/>
              <w:numPr>
                <w:ilvl w:val="0"/>
                <w:numId w:val="16"/>
              </w:numPr>
              <w:spacing w:after="0"/>
              <w:ind w:left="459"/>
              <w:jc w:val="both"/>
              <w:rPr>
                <w:rFonts w:ascii="Arial" w:hAnsi="Arial" w:cs="Arial"/>
                <w:sz w:val="24"/>
              </w:rPr>
            </w:pPr>
            <w:r w:rsidRPr="00E05FBE">
              <w:rPr>
                <w:rFonts w:ascii="Arial" w:hAnsi="Arial" w:cs="Arial"/>
                <w:sz w:val="24"/>
              </w:rPr>
              <w:t>Widowed 7%</w:t>
            </w:r>
          </w:p>
          <w:p w:rsidR="00A211EC" w:rsidRDefault="00A211EC" w:rsidP="00F20997">
            <w:pPr>
              <w:spacing w:after="0"/>
              <w:jc w:val="both"/>
              <w:rPr>
                <w:rFonts w:cs="Arial"/>
                <w:sz w:val="24"/>
              </w:rPr>
            </w:pPr>
          </w:p>
          <w:p w:rsidR="00F20997" w:rsidRPr="00F20997" w:rsidRDefault="00F20997" w:rsidP="00F20997">
            <w:pPr>
              <w:spacing w:after="0"/>
              <w:jc w:val="both"/>
              <w:rPr>
                <w:rFonts w:cs="Arial"/>
                <w:sz w:val="24"/>
              </w:rPr>
            </w:pPr>
            <w:r w:rsidRPr="00F20997">
              <w:rPr>
                <w:rFonts w:cs="Arial"/>
                <w:sz w:val="24"/>
              </w:rPr>
              <w:t>Data from the 2011 Census informs us that:</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Married 47.56%</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Single never married 36.14%</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Separated 3.98%</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Divorced 5.45%</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Same Sex Civil Partnership 0.09%</w:t>
            </w:r>
          </w:p>
          <w:p w:rsidR="00F20997" w:rsidRPr="00F20997" w:rsidRDefault="00F20997" w:rsidP="00F20997">
            <w:pPr>
              <w:pStyle w:val="ListParagraph"/>
              <w:numPr>
                <w:ilvl w:val="0"/>
                <w:numId w:val="12"/>
              </w:numPr>
              <w:spacing w:after="0"/>
              <w:jc w:val="both"/>
              <w:rPr>
                <w:rFonts w:ascii="Arial" w:hAnsi="Arial" w:cs="Arial"/>
                <w:sz w:val="24"/>
              </w:rPr>
            </w:pPr>
            <w:r w:rsidRPr="00F20997">
              <w:rPr>
                <w:rFonts w:ascii="Arial" w:hAnsi="Arial" w:cs="Arial"/>
                <w:sz w:val="24"/>
              </w:rPr>
              <w:t>Widowed or Surviving partner from SSCP 6.78 %</w:t>
            </w:r>
          </w:p>
          <w:p w:rsidR="00F20997" w:rsidRDefault="00F20997" w:rsidP="003E0C55">
            <w:pPr>
              <w:spacing w:after="0"/>
              <w:jc w:val="both"/>
              <w:rPr>
                <w:rFonts w:cs="Arial"/>
                <w:sz w:val="24"/>
              </w:rPr>
            </w:pPr>
          </w:p>
          <w:p w:rsidR="00F20997" w:rsidRPr="003E0C55" w:rsidRDefault="00E81E4E" w:rsidP="003E0C55">
            <w:pPr>
              <w:spacing w:after="0"/>
              <w:jc w:val="both"/>
              <w:rPr>
                <w:rFonts w:cs="Arial"/>
                <w:sz w:val="24"/>
              </w:rPr>
            </w:pPr>
            <w:r>
              <w:rPr>
                <w:rFonts w:cs="Arial"/>
                <w:sz w:val="24"/>
              </w:rPr>
              <w:t>NB: the SBNI considers these as relevant for c</w:t>
            </w:r>
            <w:r w:rsidR="002E0DC0">
              <w:rPr>
                <w:rFonts w:cs="Arial"/>
                <w:sz w:val="24"/>
              </w:rPr>
              <w:t xml:space="preserve">hildren and </w:t>
            </w:r>
            <w:r>
              <w:rPr>
                <w:rFonts w:cs="Arial"/>
                <w:sz w:val="24"/>
              </w:rPr>
              <w:t>y</w:t>
            </w:r>
            <w:r w:rsidR="002E0DC0">
              <w:rPr>
                <w:rFonts w:cs="Arial"/>
                <w:sz w:val="24"/>
              </w:rPr>
              <w:t xml:space="preserve">oung </w:t>
            </w:r>
            <w:r>
              <w:rPr>
                <w:rFonts w:cs="Arial"/>
                <w:sz w:val="24"/>
              </w:rPr>
              <w:t>p</w:t>
            </w:r>
            <w:r w:rsidR="002E0DC0">
              <w:rPr>
                <w:rFonts w:cs="Arial"/>
                <w:sz w:val="24"/>
              </w:rPr>
              <w:t>eople</w:t>
            </w:r>
            <w:r>
              <w:rPr>
                <w:rFonts w:cs="Arial"/>
                <w:sz w:val="24"/>
              </w:rPr>
              <w:t xml:space="preserve"> as they relate to aspects of identity, adversity, masculinity and understanding of social norms.</w:t>
            </w: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t>Dependent Status</w:t>
            </w:r>
          </w:p>
        </w:tc>
        <w:tc>
          <w:tcPr>
            <w:tcW w:w="8561" w:type="dxa"/>
          </w:tcPr>
          <w:p w:rsidR="00F20997" w:rsidRPr="00916844" w:rsidRDefault="00916844" w:rsidP="00F20997">
            <w:pPr>
              <w:pStyle w:val="Default"/>
            </w:pPr>
            <w:r>
              <w:t xml:space="preserve">Information </w:t>
            </w:r>
            <w:r w:rsidR="00F20997" w:rsidRPr="00916844">
              <w:t xml:space="preserve">from </w:t>
            </w:r>
            <w:r w:rsidRPr="00916844">
              <w:t>Carers NI</w:t>
            </w:r>
            <w:r w:rsidR="00F20997" w:rsidRPr="00916844">
              <w:t xml:space="preserve"> suggests that: </w:t>
            </w:r>
          </w:p>
          <w:p w:rsidR="00F20997" w:rsidRPr="00916844" w:rsidRDefault="00F20997" w:rsidP="00916844">
            <w:pPr>
              <w:pStyle w:val="Default"/>
              <w:numPr>
                <w:ilvl w:val="0"/>
                <w:numId w:val="12"/>
              </w:numPr>
            </w:pPr>
            <w:r w:rsidRPr="00916844">
              <w:t xml:space="preserve">1 in every 8 adults is a carer </w:t>
            </w:r>
          </w:p>
          <w:p w:rsidR="00F20997" w:rsidRPr="00916844" w:rsidRDefault="00F20997" w:rsidP="00916844">
            <w:pPr>
              <w:pStyle w:val="Default"/>
              <w:numPr>
                <w:ilvl w:val="0"/>
                <w:numId w:val="12"/>
              </w:numPr>
            </w:pPr>
            <w:r w:rsidRPr="00916844">
              <w:t xml:space="preserve">2% of 0-17 year olds are carers, based on the 2011 Census </w:t>
            </w:r>
          </w:p>
          <w:p w:rsidR="00F20997" w:rsidRPr="00916844" w:rsidRDefault="00F20997" w:rsidP="00916844">
            <w:pPr>
              <w:pStyle w:val="Default"/>
              <w:numPr>
                <w:ilvl w:val="0"/>
                <w:numId w:val="12"/>
              </w:numPr>
            </w:pPr>
            <w:r w:rsidRPr="00916844">
              <w:t xml:space="preserve">There are approximately 220,000 carers in Northern Ireland </w:t>
            </w:r>
          </w:p>
          <w:p w:rsidR="00F20997" w:rsidRPr="00916844" w:rsidRDefault="00F20997" w:rsidP="00916844">
            <w:pPr>
              <w:pStyle w:val="Default"/>
              <w:numPr>
                <w:ilvl w:val="0"/>
                <w:numId w:val="12"/>
              </w:numPr>
            </w:pPr>
            <w:r w:rsidRPr="00916844">
              <w:t xml:space="preserve">Any one of us has a 6.6% chance of becoming a carer in any year </w:t>
            </w:r>
          </w:p>
          <w:p w:rsidR="00F20997" w:rsidRPr="00916844" w:rsidRDefault="00F20997" w:rsidP="00916844">
            <w:pPr>
              <w:pStyle w:val="Default"/>
              <w:numPr>
                <w:ilvl w:val="0"/>
                <w:numId w:val="12"/>
              </w:numPr>
            </w:pPr>
            <w:r w:rsidRPr="00916844">
              <w:t xml:space="preserve">One quarter of all carers provide over 50 hours of care per week </w:t>
            </w:r>
            <w:r w:rsidRPr="00916844">
              <w:t xml:space="preserve"> People providing high levels of care are twice as likely to be permanently </w:t>
            </w:r>
            <w:r w:rsidRPr="00916844">
              <w:lastRenderedPageBreak/>
              <w:t xml:space="preserve">sick or disabled than the average person </w:t>
            </w:r>
          </w:p>
          <w:p w:rsidR="00F20997" w:rsidRPr="00916844" w:rsidRDefault="00F20997" w:rsidP="00916844">
            <w:pPr>
              <w:pStyle w:val="Default"/>
              <w:numPr>
                <w:ilvl w:val="0"/>
                <w:numId w:val="12"/>
              </w:numPr>
            </w:pPr>
            <w:r w:rsidRPr="00916844">
              <w:t xml:space="preserve">64% of carers are women; 36% are men. </w:t>
            </w:r>
          </w:p>
          <w:p w:rsidR="00E05FBE" w:rsidRDefault="00E05FBE" w:rsidP="00F20997">
            <w:pPr>
              <w:pStyle w:val="Default"/>
              <w:rPr>
                <w:b/>
                <w:bCs/>
              </w:rPr>
            </w:pPr>
          </w:p>
          <w:p w:rsidR="00F20997" w:rsidRPr="00E05FBE" w:rsidRDefault="00F20997" w:rsidP="00F20997">
            <w:pPr>
              <w:pStyle w:val="Default"/>
            </w:pPr>
            <w:r w:rsidRPr="00E05FBE">
              <w:rPr>
                <w:bCs/>
              </w:rPr>
              <w:t xml:space="preserve">Health Survey NI (2016/17) </w:t>
            </w:r>
          </w:p>
          <w:p w:rsidR="00F20997" w:rsidRPr="00916844" w:rsidRDefault="00F20997" w:rsidP="00916844">
            <w:pPr>
              <w:pStyle w:val="Default"/>
              <w:numPr>
                <w:ilvl w:val="0"/>
                <w:numId w:val="12"/>
              </w:numPr>
            </w:pPr>
            <w:r w:rsidRPr="00916844">
              <w:t xml:space="preserve">13% have caring responsibilities </w:t>
            </w:r>
          </w:p>
          <w:p w:rsidR="00F20997" w:rsidRPr="00916844" w:rsidRDefault="00F20997" w:rsidP="00916844">
            <w:pPr>
              <w:pStyle w:val="Default"/>
              <w:numPr>
                <w:ilvl w:val="0"/>
                <w:numId w:val="12"/>
              </w:numPr>
            </w:pPr>
            <w:r w:rsidRPr="00916844">
              <w:t>Approx</w:t>
            </w:r>
            <w:r w:rsidR="00916844">
              <w:t>imately,</w:t>
            </w:r>
            <w:r w:rsidRPr="00916844">
              <w:t xml:space="preserve"> 70% receive no monetary reward for giving this care </w:t>
            </w:r>
          </w:p>
          <w:p w:rsidR="00F20997" w:rsidRPr="00916844" w:rsidRDefault="00F20997" w:rsidP="00916844">
            <w:pPr>
              <w:pStyle w:val="Default"/>
              <w:numPr>
                <w:ilvl w:val="0"/>
                <w:numId w:val="12"/>
              </w:numPr>
            </w:pPr>
            <w:r w:rsidRPr="00916844">
              <w:t xml:space="preserve">48% received help from other family members, but 38% received no support from others </w:t>
            </w:r>
          </w:p>
          <w:p w:rsidR="00916844" w:rsidRDefault="00916844" w:rsidP="00F20997">
            <w:pPr>
              <w:pStyle w:val="Default"/>
              <w:rPr>
                <w:b/>
                <w:bCs/>
              </w:rPr>
            </w:pPr>
          </w:p>
          <w:p w:rsidR="00F20997" w:rsidRPr="00916844" w:rsidRDefault="00F20997" w:rsidP="00F20997">
            <w:pPr>
              <w:pStyle w:val="Default"/>
            </w:pPr>
            <w:r w:rsidRPr="00E05FBE">
              <w:rPr>
                <w:bCs/>
              </w:rPr>
              <w:t>Parents with dependent children (Census 2011</w:t>
            </w:r>
            <w:r w:rsidRPr="00916844">
              <w:rPr>
                <w:b/>
                <w:bCs/>
              </w:rPr>
              <w:t xml:space="preserve">) </w:t>
            </w:r>
          </w:p>
          <w:p w:rsidR="00F20997" w:rsidRPr="00916844" w:rsidRDefault="00F20997" w:rsidP="00F20997">
            <w:pPr>
              <w:pStyle w:val="Default"/>
            </w:pPr>
            <w:r w:rsidRPr="00916844">
              <w:t xml:space="preserve">Responsibility for dependent children: 238,094 households (33.9% of all NI households) </w:t>
            </w:r>
          </w:p>
          <w:p w:rsidR="00916844" w:rsidRDefault="00916844" w:rsidP="00F20997">
            <w:pPr>
              <w:pStyle w:val="Default"/>
              <w:rPr>
                <w:b/>
                <w:bCs/>
              </w:rPr>
            </w:pPr>
          </w:p>
          <w:p w:rsidR="00F20997" w:rsidRPr="00916844" w:rsidRDefault="00F20997" w:rsidP="00F20997">
            <w:pPr>
              <w:pStyle w:val="Default"/>
            </w:pPr>
            <w:r w:rsidRPr="00E05FBE">
              <w:rPr>
                <w:bCs/>
              </w:rPr>
              <w:t>NI Lone parent families</w:t>
            </w:r>
            <w:r w:rsidRPr="00916844">
              <w:rPr>
                <w:b/>
                <w:bCs/>
              </w:rPr>
              <w:t xml:space="preserve"> </w:t>
            </w:r>
            <w:r w:rsidRPr="00916844">
              <w:t xml:space="preserve">= 115,959, with 123,745 dependent children in family (Census 2011). Of the 115, 959 lone parents, 16, 691 are males and 99,268 are female. (Census 2011) </w:t>
            </w:r>
          </w:p>
          <w:p w:rsidR="00F20997" w:rsidRDefault="00F20997">
            <w:pPr>
              <w:pStyle w:val="Default"/>
            </w:pPr>
          </w:p>
          <w:p w:rsidR="00916844" w:rsidRDefault="00916844" w:rsidP="00916844">
            <w:pPr>
              <w:autoSpaceDE w:val="0"/>
              <w:autoSpaceDN w:val="0"/>
              <w:adjustRightInd w:val="0"/>
              <w:spacing w:after="0"/>
              <w:jc w:val="both"/>
              <w:rPr>
                <w:rFonts w:eastAsiaTheme="minorHAnsi" w:cs="Arial"/>
                <w:sz w:val="24"/>
              </w:rPr>
            </w:pPr>
            <w:r w:rsidRPr="00FA5878">
              <w:rPr>
                <w:sz w:val="24"/>
              </w:rPr>
              <w:t>Census data suggests that 33.9% of all NI Households have dependent children. (Census 2011),</w:t>
            </w:r>
          </w:p>
          <w:p w:rsidR="00916844" w:rsidRPr="00916844" w:rsidRDefault="00916844">
            <w:pPr>
              <w:pStyle w:val="Default"/>
            </w:pPr>
          </w:p>
          <w:p w:rsidR="00F20997" w:rsidRPr="00916844" w:rsidRDefault="00F20997">
            <w:pPr>
              <w:pStyle w:val="Default"/>
            </w:pP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lastRenderedPageBreak/>
              <w:t>Disability</w:t>
            </w:r>
          </w:p>
          <w:p w:rsidR="00F20997" w:rsidRPr="003E0C55" w:rsidRDefault="00F20997" w:rsidP="003E0C55">
            <w:pPr>
              <w:spacing w:after="0"/>
              <w:jc w:val="both"/>
              <w:rPr>
                <w:rFonts w:cs="Arial"/>
                <w:sz w:val="24"/>
              </w:rPr>
            </w:pPr>
          </w:p>
        </w:tc>
        <w:tc>
          <w:tcPr>
            <w:tcW w:w="8561" w:type="dxa"/>
          </w:tcPr>
          <w:p w:rsidR="00916844" w:rsidRPr="00916844" w:rsidRDefault="00916844" w:rsidP="00916844">
            <w:pPr>
              <w:autoSpaceDE w:val="0"/>
              <w:autoSpaceDN w:val="0"/>
              <w:adjustRightInd w:val="0"/>
              <w:spacing w:after="0"/>
              <w:jc w:val="both"/>
              <w:rPr>
                <w:rFonts w:eastAsiaTheme="minorHAnsi" w:cs="Arial"/>
                <w:sz w:val="24"/>
              </w:rPr>
            </w:pPr>
            <w:r w:rsidRPr="00916844">
              <w:rPr>
                <w:rFonts w:eastAsiaTheme="minorHAnsi" w:cs="Arial"/>
                <w:sz w:val="24"/>
              </w:rPr>
              <w:t>It is estimated that in Northern Ireland, 42% have longstanding illness (30% limiting and 12% non-limiting illness) Health Survey NI (2017).</w:t>
            </w:r>
          </w:p>
          <w:p w:rsidR="00916844" w:rsidRDefault="00916844" w:rsidP="00916844">
            <w:pPr>
              <w:autoSpaceDE w:val="0"/>
              <w:autoSpaceDN w:val="0"/>
              <w:adjustRightInd w:val="0"/>
              <w:spacing w:after="0"/>
              <w:jc w:val="both"/>
              <w:rPr>
                <w:rFonts w:eastAsiaTheme="minorHAnsi" w:cs="Arial"/>
                <w:sz w:val="24"/>
              </w:rPr>
            </w:pPr>
          </w:p>
          <w:p w:rsidR="00916844" w:rsidRDefault="00916844" w:rsidP="00916844">
            <w:pPr>
              <w:autoSpaceDE w:val="0"/>
              <w:autoSpaceDN w:val="0"/>
              <w:adjustRightInd w:val="0"/>
              <w:spacing w:after="0"/>
              <w:jc w:val="both"/>
              <w:rPr>
                <w:rFonts w:eastAsiaTheme="minorHAnsi" w:cs="Arial"/>
                <w:sz w:val="24"/>
              </w:rPr>
            </w:pPr>
            <w:r w:rsidRPr="00916844">
              <w:rPr>
                <w:rFonts w:eastAsiaTheme="minorHAnsi" w:cs="Arial"/>
                <w:sz w:val="24"/>
              </w:rPr>
              <w:t>Prevalence of longstanding limiting illness increases with age: approximately 8% among young adults aged 16 to 34 years, compared to 60% among those who are aged 65 years and over. (Census 2011)</w:t>
            </w:r>
          </w:p>
          <w:p w:rsidR="006E7B31" w:rsidRPr="005E0187" w:rsidRDefault="006E7B31" w:rsidP="006E7B31">
            <w:pPr>
              <w:spacing w:after="0"/>
              <w:jc w:val="both"/>
              <w:rPr>
                <w:rFonts w:cs="Arial"/>
                <w:color w:val="000000"/>
                <w:sz w:val="24"/>
                <w:lang w:eastAsia="en-GB"/>
              </w:rPr>
            </w:pPr>
            <w:r w:rsidRPr="005E0187">
              <w:rPr>
                <w:rFonts w:cs="Arial"/>
                <w:color w:val="000000"/>
                <w:sz w:val="24"/>
                <w:lang w:eastAsia="en-GB"/>
              </w:rPr>
              <w:t>There is a higher level of disability among adult females (23%) compared to adult males (19%). Girls (4%) are less likely to be disabled than boys (8%).</w:t>
            </w:r>
          </w:p>
          <w:p w:rsidR="006E7B31" w:rsidRPr="00916844" w:rsidRDefault="006E7B31" w:rsidP="00916844">
            <w:pPr>
              <w:autoSpaceDE w:val="0"/>
              <w:autoSpaceDN w:val="0"/>
              <w:adjustRightInd w:val="0"/>
              <w:spacing w:after="0"/>
              <w:jc w:val="both"/>
              <w:rPr>
                <w:rFonts w:eastAsiaTheme="minorHAnsi" w:cs="Arial"/>
                <w:sz w:val="24"/>
              </w:rPr>
            </w:pPr>
          </w:p>
          <w:p w:rsidR="00953B7A" w:rsidRPr="002E0DC0" w:rsidRDefault="00953B7A" w:rsidP="00953B7A">
            <w:pPr>
              <w:autoSpaceDE w:val="0"/>
              <w:autoSpaceDN w:val="0"/>
              <w:adjustRightInd w:val="0"/>
              <w:spacing w:after="0"/>
              <w:rPr>
                <w:rFonts w:eastAsiaTheme="minorHAnsi" w:cs="Arial"/>
                <w:color w:val="000000"/>
                <w:sz w:val="24"/>
              </w:rPr>
            </w:pPr>
            <w:r w:rsidRPr="002E0DC0">
              <w:rPr>
                <w:rFonts w:eastAsiaTheme="minorHAnsi" w:cs="Arial"/>
                <w:color w:val="000000"/>
                <w:sz w:val="24"/>
              </w:rPr>
              <w:t>Department of Education School Enrolments 2019-2020 statistical bulletins:</w:t>
            </w:r>
          </w:p>
          <w:p w:rsidR="00916844" w:rsidRDefault="00953B7A" w:rsidP="00916844">
            <w:pPr>
              <w:autoSpaceDE w:val="0"/>
              <w:autoSpaceDN w:val="0"/>
              <w:adjustRightInd w:val="0"/>
              <w:spacing w:after="0"/>
              <w:jc w:val="both"/>
              <w:rPr>
                <w:rFonts w:eastAsiaTheme="minorHAnsi" w:cs="Arial"/>
                <w:sz w:val="24"/>
              </w:rPr>
            </w:pPr>
            <w:r>
              <w:rPr>
                <w:rFonts w:eastAsiaTheme="minorHAnsi" w:cs="Arial"/>
                <w:sz w:val="24"/>
              </w:rPr>
              <w:t>67,254 (19/3%) of pupils enrolled in schools in NI have special educational needs.</w:t>
            </w:r>
          </w:p>
          <w:p w:rsidR="00953B7A" w:rsidRDefault="00953B7A" w:rsidP="00916844">
            <w:pPr>
              <w:autoSpaceDE w:val="0"/>
              <w:autoSpaceDN w:val="0"/>
              <w:adjustRightInd w:val="0"/>
              <w:spacing w:after="0"/>
              <w:jc w:val="both"/>
              <w:rPr>
                <w:rFonts w:eastAsiaTheme="minorHAnsi" w:cs="Arial"/>
                <w:sz w:val="24"/>
              </w:rPr>
            </w:pPr>
          </w:p>
          <w:p w:rsidR="00A211EC" w:rsidRPr="004A7962" w:rsidRDefault="00A211EC" w:rsidP="00A211EC">
            <w:pPr>
              <w:autoSpaceDE w:val="0"/>
              <w:autoSpaceDN w:val="0"/>
              <w:adjustRightInd w:val="0"/>
              <w:spacing w:after="0"/>
              <w:jc w:val="both"/>
              <w:rPr>
                <w:rFonts w:eastAsiaTheme="minorHAnsi" w:cs="Arial"/>
                <w:sz w:val="24"/>
              </w:rPr>
            </w:pPr>
            <w:r w:rsidRPr="005E0187">
              <w:rPr>
                <w:rFonts w:eastAsiaTheme="minorHAnsi" w:cs="Arial"/>
                <w:b/>
                <w:sz w:val="24"/>
              </w:rPr>
              <w:t>SBNI Statistics</w:t>
            </w:r>
            <w:r w:rsidRPr="004A7962">
              <w:rPr>
                <w:rFonts w:eastAsiaTheme="minorHAnsi" w:cs="Arial"/>
                <w:sz w:val="24"/>
              </w:rPr>
              <w:t>:</w:t>
            </w:r>
          </w:p>
          <w:p w:rsidR="00F20997" w:rsidRPr="00FA5878" w:rsidRDefault="00A211EC" w:rsidP="00A211EC">
            <w:pPr>
              <w:jc w:val="both"/>
              <w:rPr>
                <w:rFonts w:cs="Arial"/>
                <w:sz w:val="24"/>
              </w:rPr>
            </w:pPr>
            <w:r>
              <w:rPr>
                <w:rFonts w:eastAsiaTheme="minorHAnsi" w:cs="Arial"/>
                <w:sz w:val="24"/>
              </w:rPr>
              <w:t>4,426 – children in need with a disability</w:t>
            </w: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t>Ethnicity</w:t>
            </w:r>
          </w:p>
          <w:p w:rsidR="00F20997" w:rsidRPr="003E0C55" w:rsidRDefault="00F20997" w:rsidP="003E0C55">
            <w:pPr>
              <w:spacing w:after="0"/>
              <w:jc w:val="both"/>
              <w:rPr>
                <w:rFonts w:cs="Arial"/>
                <w:sz w:val="24"/>
              </w:rPr>
            </w:pPr>
          </w:p>
        </w:tc>
        <w:tc>
          <w:tcPr>
            <w:tcW w:w="8561" w:type="dxa"/>
          </w:tcPr>
          <w:p w:rsidR="00A211EC" w:rsidRPr="00A211EC" w:rsidRDefault="00A211EC" w:rsidP="00A211EC">
            <w:pPr>
              <w:jc w:val="both"/>
              <w:rPr>
                <w:rFonts w:cs="Arial"/>
                <w:sz w:val="24"/>
              </w:rPr>
            </w:pPr>
            <w:r w:rsidRPr="00A211EC">
              <w:rPr>
                <w:rFonts w:cs="Arial"/>
                <w:sz w:val="24"/>
              </w:rPr>
              <w:t>Traveller population in N Ireland is estimated at 3905 (All-Ireland Traveller’s Health Survey, 2010)</w:t>
            </w:r>
          </w:p>
          <w:p w:rsidR="00A211EC" w:rsidRPr="00A211EC" w:rsidRDefault="00A211EC" w:rsidP="00A211EC">
            <w:pPr>
              <w:pStyle w:val="ListParagraph"/>
              <w:numPr>
                <w:ilvl w:val="0"/>
                <w:numId w:val="12"/>
              </w:numPr>
              <w:jc w:val="both"/>
              <w:rPr>
                <w:rFonts w:ascii="Arial" w:hAnsi="Arial" w:cs="Arial"/>
                <w:sz w:val="24"/>
              </w:rPr>
            </w:pPr>
            <w:r w:rsidRPr="00A211EC">
              <w:rPr>
                <w:rFonts w:ascii="Arial" w:hAnsi="Arial" w:cs="Arial"/>
                <w:sz w:val="24"/>
              </w:rPr>
              <w:t>Non-White ethnic groups (Asian, Black, Mixed, Other) estimated at: 31113.</w:t>
            </w:r>
          </w:p>
          <w:p w:rsidR="00F20997" w:rsidRPr="00A211EC" w:rsidRDefault="00A211EC" w:rsidP="00A211EC">
            <w:pPr>
              <w:pStyle w:val="ListParagraph"/>
              <w:numPr>
                <w:ilvl w:val="0"/>
                <w:numId w:val="12"/>
              </w:numPr>
              <w:jc w:val="both"/>
              <w:rPr>
                <w:rFonts w:cs="Arial"/>
                <w:sz w:val="24"/>
              </w:rPr>
            </w:pPr>
            <w:r w:rsidRPr="00A211EC">
              <w:rPr>
                <w:rFonts w:ascii="Arial" w:hAnsi="Arial" w:cs="Arial"/>
                <w:sz w:val="24"/>
              </w:rPr>
              <w:t>The number of births to mothers outside the UK and Ireland have increased over the past decade with 2347 births in 2008 compared with 661 in 2001 (9% of all registered births) (2011 Census data)</w:t>
            </w:r>
          </w:p>
          <w:tbl>
            <w:tblPr>
              <w:tblW w:w="0" w:type="auto"/>
              <w:tblBorders>
                <w:top w:val="nil"/>
                <w:left w:val="nil"/>
                <w:bottom w:val="nil"/>
                <w:right w:val="nil"/>
              </w:tblBorders>
              <w:tblLayout w:type="fixed"/>
              <w:tblLook w:val="0000" w:firstRow="0" w:lastRow="0" w:firstColumn="0" w:lastColumn="0" w:noHBand="0" w:noVBand="0"/>
            </w:tblPr>
            <w:tblGrid>
              <w:gridCol w:w="8314"/>
            </w:tblGrid>
            <w:tr w:rsidR="00A211EC" w:rsidRPr="00A211EC">
              <w:trPr>
                <w:trHeight w:val="1336"/>
              </w:trPr>
              <w:tc>
                <w:tcPr>
                  <w:tcW w:w="8314" w:type="dxa"/>
                </w:tcPr>
                <w:p w:rsidR="00A211EC" w:rsidRPr="00A211EC" w:rsidRDefault="00A211EC" w:rsidP="00A211EC">
                  <w:pPr>
                    <w:autoSpaceDE w:val="0"/>
                    <w:autoSpaceDN w:val="0"/>
                    <w:adjustRightInd w:val="0"/>
                    <w:spacing w:after="0"/>
                    <w:rPr>
                      <w:rFonts w:ascii="Calibri" w:eastAsiaTheme="minorHAnsi" w:hAnsi="Calibri" w:cs="Calibri"/>
                      <w:color w:val="000000"/>
                      <w:szCs w:val="28"/>
                    </w:rPr>
                  </w:pPr>
                  <w:r w:rsidRPr="00A211EC">
                    <w:rPr>
                      <w:rFonts w:ascii="Calibri" w:eastAsiaTheme="minorHAnsi" w:hAnsi="Calibri" w:cs="Calibri"/>
                      <w:b/>
                      <w:bCs/>
                      <w:color w:val="000000"/>
                      <w:szCs w:val="28"/>
                    </w:rPr>
                    <w:lastRenderedPageBreak/>
                    <w:t xml:space="preserve">Language </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The five most popularly requested languages in HSC settings (as reported by the HSC Translation Service) in 2017-2018 were: </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1. Polish (30,292 requests); </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2. Lithuanian (15,763 requests); </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3. Arabic (11,360 requests); </w:t>
                  </w:r>
                </w:p>
                <w:p w:rsidR="00A211EC" w:rsidRPr="00A211EC" w:rsidRDefault="00A211EC" w:rsidP="00A211EC">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4. Romanian (9,908 requests) and </w:t>
                  </w:r>
                </w:p>
                <w:p w:rsidR="00A211EC" w:rsidRDefault="00A211EC" w:rsidP="00A211EC">
                  <w:pPr>
                    <w:autoSpaceDE w:val="0"/>
                    <w:autoSpaceDN w:val="0"/>
                    <w:adjustRightInd w:val="0"/>
                    <w:spacing w:after="0"/>
                    <w:rPr>
                      <w:rFonts w:ascii="Calibri" w:eastAsiaTheme="minorHAnsi" w:hAnsi="Calibri" w:cs="Calibri"/>
                      <w:color w:val="000000"/>
                      <w:szCs w:val="28"/>
                    </w:rPr>
                  </w:pPr>
                  <w:r w:rsidRPr="00A211EC">
                    <w:rPr>
                      <w:rFonts w:eastAsiaTheme="minorHAnsi" w:cs="Arial"/>
                      <w:color w:val="000000"/>
                      <w:sz w:val="24"/>
                    </w:rPr>
                    <w:t>5. Portuguese (8,524 requests)</w:t>
                  </w:r>
                  <w:r w:rsidRPr="00A211EC">
                    <w:rPr>
                      <w:rFonts w:ascii="Calibri" w:eastAsiaTheme="minorHAnsi" w:hAnsi="Calibri" w:cs="Calibri"/>
                      <w:color w:val="000000"/>
                      <w:szCs w:val="28"/>
                    </w:rPr>
                    <w:t xml:space="preserve"> </w:t>
                  </w:r>
                </w:p>
                <w:p w:rsidR="00A211EC" w:rsidRDefault="00A211EC" w:rsidP="00A211EC">
                  <w:pPr>
                    <w:autoSpaceDE w:val="0"/>
                    <w:autoSpaceDN w:val="0"/>
                    <w:adjustRightInd w:val="0"/>
                    <w:spacing w:after="0"/>
                    <w:rPr>
                      <w:rFonts w:ascii="Calibri" w:eastAsiaTheme="minorHAnsi" w:hAnsi="Calibri" w:cs="Calibri"/>
                      <w:color w:val="000000"/>
                      <w:szCs w:val="28"/>
                    </w:rPr>
                  </w:pPr>
                </w:p>
                <w:p w:rsidR="001E7EEB" w:rsidRPr="002E0DC0" w:rsidRDefault="001E7EEB" w:rsidP="00A211EC">
                  <w:pPr>
                    <w:autoSpaceDE w:val="0"/>
                    <w:autoSpaceDN w:val="0"/>
                    <w:adjustRightInd w:val="0"/>
                    <w:spacing w:after="0"/>
                    <w:rPr>
                      <w:rFonts w:eastAsiaTheme="minorHAnsi" w:cs="Arial"/>
                      <w:color w:val="000000"/>
                      <w:sz w:val="24"/>
                    </w:rPr>
                  </w:pPr>
                  <w:r w:rsidRPr="002E0DC0">
                    <w:rPr>
                      <w:rFonts w:eastAsiaTheme="minorHAnsi" w:cs="Arial"/>
                      <w:color w:val="000000"/>
                      <w:sz w:val="24"/>
                    </w:rPr>
                    <w:t>Department of Education School Enrolments 2019-2020 statistical bulletins:</w:t>
                  </w:r>
                </w:p>
                <w:p w:rsidR="001E7EEB" w:rsidRPr="00A211EC" w:rsidRDefault="001E7EEB" w:rsidP="001E7EEB">
                  <w:pPr>
                    <w:autoSpaceDE w:val="0"/>
                    <w:autoSpaceDN w:val="0"/>
                    <w:adjustRightInd w:val="0"/>
                    <w:spacing w:after="0"/>
                    <w:rPr>
                      <w:rFonts w:ascii="Calibri" w:eastAsiaTheme="minorHAnsi" w:hAnsi="Calibri" w:cs="Calibri"/>
                      <w:color w:val="000000"/>
                      <w:szCs w:val="28"/>
                    </w:rPr>
                  </w:pPr>
                  <w:r w:rsidRPr="002E0DC0">
                    <w:rPr>
                      <w:rFonts w:eastAsiaTheme="minorHAnsi" w:cs="Arial"/>
                      <w:color w:val="000000"/>
                      <w:sz w:val="24"/>
                    </w:rPr>
                    <w:t xml:space="preserve">Schools are increasingly becoming more ethnically diverse. There are more than 17,500 pupils in schools in Northern Ireland recorded as “non-white”, and this </w:t>
                  </w:r>
                  <w:r w:rsidR="00B77A85" w:rsidRPr="002E0DC0">
                    <w:rPr>
                      <w:rFonts w:eastAsiaTheme="minorHAnsi" w:cs="Arial"/>
                      <w:color w:val="000000"/>
                      <w:sz w:val="24"/>
                    </w:rPr>
                    <w:t>represents 5.0</w:t>
                  </w:r>
                  <w:r w:rsidRPr="002E0DC0">
                    <w:rPr>
                      <w:rFonts w:eastAsiaTheme="minorHAnsi" w:cs="Arial"/>
                      <w:color w:val="000000"/>
                      <w:sz w:val="24"/>
                    </w:rPr>
                    <w:t>% of the school population.</w:t>
                  </w:r>
                  <w:r w:rsidRPr="002E0DC0">
                    <w:rPr>
                      <w:rFonts w:cs="Arial"/>
                      <w:sz w:val="24"/>
                    </w:rPr>
                    <w:t xml:space="preserve"> </w:t>
                  </w:r>
                  <w:r w:rsidRPr="002E0DC0">
                    <w:rPr>
                      <w:rFonts w:eastAsiaTheme="minorHAnsi" w:cs="Arial"/>
                      <w:color w:val="000000"/>
                      <w:sz w:val="24"/>
                    </w:rPr>
                    <w:t xml:space="preserve">A newcomer pupil is one who has enrolled in a school but who does not have the satisfactory language skills to participate fully in the school curriculum. In 2019/20, there were nearly 17,400 newcomer pupils accounting for 5.0% of the school population. This has risen by nearly 5,500 pupils from five years prior. The growth in diversity in the school system may be explained by increased levels of migration among school age children over the last number of years. The top languages spoken by newcomers </w:t>
                  </w:r>
                  <w:r w:rsidR="00B77A85" w:rsidRPr="002E0DC0">
                    <w:rPr>
                      <w:rFonts w:eastAsiaTheme="minorHAnsi" w:cs="Arial"/>
                      <w:color w:val="000000"/>
                      <w:sz w:val="24"/>
                    </w:rPr>
                    <w:t>are: Polish</w:t>
                  </w:r>
                  <w:r w:rsidRPr="002E0DC0">
                    <w:rPr>
                      <w:rFonts w:eastAsiaTheme="minorHAnsi" w:cs="Arial"/>
                      <w:color w:val="000000"/>
                      <w:sz w:val="24"/>
                    </w:rPr>
                    <w:t>, Lithuanian and Portuguese.</w:t>
                  </w:r>
                </w:p>
              </w:tc>
            </w:tr>
          </w:tbl>
          <w:p w:rsidR="00A211EC" w:rsidRPr="00A211EC" w:rsidRDefault="00A211EC" w:rsidP="00A211EC">
            <w:pPr>
              <w:jc w:val="both"/>
              <w:rPr>
                <w:rFonts w:cs="Arial"/>
                <w:sz w:val="24"/>
              </w:rPr>
            </w:pPr>
          </w:p>
        </w:tc>
      </w:tr>
      <w:tr w:rsidR="00F20997" w:rsidRPr="003E0C55" w:rsidTr="00C52FA1">
        <w:tc>
          <w:tcPr>
            <w:tcW w:w="1668" w:type="dxa"/>
            <w:shd w:val="clear" w:color="auto" w:fill="E6E6E6"/>
          </w:tcPr>
          <w:p w:rsidR="00F20997" w:rsidRPr="003E0C55" w:rsidRDefault="00F20997" w:rsidP="003E0C55">
            <w:pPr>
              <w:spacing w:after="0"/>
              <w:jc w:val="both"/>
              <w:rPr>
                <w:rFonts w:cs="Arial"/>
                <w:sz w:val="24"/>
              </w:rPr>
            </w:pPr>
            <w:r w:rsidRPr="003E0C55">
              <w:rPr>
                <w:rFonts w:cs="Arial"/>
                <w:sz w:val="24"/>
              </w:rPr>
              <w:lastRenderedPageBreak/>
              <w:t>Sexual Orientation</w:t>
            </w:r>
          </w:p>
        </w:tc>
        <w:tc>
          <w:tcPr>
            <w:tcW w:w="8561" w:type="dxa"/>
          </w:tcPr>
          <w:p w:rsidR="00F20997" w:rsidRPr="00FA5878" w:rsidRDefault="00F20997" w:rsidP="00FA5878">
            <w:pPr>
              <w:pStyle w:val="Default"/>
              <w:jc w:val="both"/>
              <w:rPr>
                <w:color w:val="auto"/>
              </w:rPr>
            </w:pPr>
            <w:r>
              <w:rPr>
                <w:color w:val="auto"/>
              </w:rPr>
              <w:t xml:space="preserve">There </w:t>
            </w:r>
            <w:r w:rsidRPr="00FA5878">
              <w:rPr>
                <w:color w:val="auto"/>
              </w:rPr>
              <w:t>are no accurate statistics on sexual orientation in the population as a whole, it is however estimated that between 5% and 10% of the population would identify as lesbian, gay or bisexual.</w:t>
            </w:r>
            <w:r w:rsidR="00A211EC" w:rsidRPr="00A211EC">
              <w:rPr>
                <w:color w:val="auto"/>
              </w:rPr>
              <w:t xml:space="preserve"> Between 2005 and 2017, there were 1202 recorded Civil Partnerships regionally. However, this is not indicative of the LGB population</w:t>
            </w:r>
          </w:p>
          <w:p w:rsidR="00F20997" w:rsidRDefault="00F20997" w:rsidP="00FA5878">
            <w:pPr>
              <w:pStyle w:val="Default"/>
              <w:jc w:val="both"/>
              <w:rPr>
                <w:color w:val="auto"/>
              </w:rPr>
            </w:pPr>
          </w:p>
          <w:p w:rsidR="00F20997" w:rsidRPr="00FA5878" w:rsidRDefault="00F20997" w:rsidP="00FA5878">
            <w:pPr>
              <w:pStyle w:val="Default"/>
              <w:jc w:val="both"/>
              <w:rPr>
                <w:color w:val="auto"/>
              </w:rPr>
            </w:pPr>
            <w:r w:rsidRPr="00FA5878">
              <w:rPr>
                <w:color w:val="auto"/>
              </w:rPr>
              <w:t>A report published by the Rainbow Project (O’Hara, 2013), based on research conducted with more than 500</w:t>
            </w:r>
            <w:r w:rsidR="00953B7A">
              <w:rPr>
                <w:color w:val="auto"/>
              </w:rPr>
              <w:t xml:space="preserve"> (adult)</w:t>
            </w:r>
            <w:r w:rsidRPr="00FA5878">
              <w:rPr>
                <w:color w:val="auto"/>
              </w:rPr>
              <w:t xml:space="preserve"> individuals reported common experiences of invisibility, homophobia/transphobia, and a range of violence from threats to physical violence, whether direct or indirect. As a result of their actual or perceived sexual orientation and/or gender identity:</w:t>
            </w:r>
          </w:p>
          <w:p w:rsidR="00F20997" w:rsidRPr="00FA5878" w:rsidRDefault="00F20997" w:rsidP="00FA5878">
            <w:pPr>
              <w:pStyle w:val="Default"/>
              <w:jc w:val="both"/>
              <w:rPr>
                <w:color w:val="auto"/>
              </w:rPr>
            </w:pPr>
            <w:r w:rsidRPr="00FA5878">
              <w:rPr>
                <w:color w:val="auto"/>
              </w:rPr>
              <w:t>- 65.8% had been verbally assaulted at least once;</w:t>
            </w:r>
          </w:p>
          <w:p w:rsidR="00F20997" w:rsidRPr="00FA5878" w:rsidRDefault="00F20997" w:rsidP="00FA5878">
            <w:pPr>
              <w:pStyle w:val="Default"/>
              <w:jc w:val="both"/>
              <w:rPr>
                <w:color w:val="auto"/>
              </w:rPr>
            </w:pPr>
            <w:r w:rsidRPr="00FA5878">
              <w:rPr>
                <w:color w:val="auto"/>
              </w:rPr>
              <w:t>- 43.3% had been threatened with physical violence at least once;</w:t>
            </w:r>
          </w:p>
          <w:p w:rsidR="00F20997" w:rsidRPr="00FA5878" w:rsidRDefault="00F20997" w:rsidP="00FA5878">
            <w:pPr>
              <w:pStyle w:val="Default"/>
              <w:jc w:val="both"/>
              <w:rPr>
                <w:color w:val="auto"/>
              </w:rPr>
            </w:pPr>
            <w:r w:rsidRPr="00FA5878">
              <w:rPr>
                <w:color w:val="auto"/>
              </w:rPr>
              <w:t>- 33% had been threatened to be ‘outed’ at least once;</w:t>
            </w:r>
          </w:p>
          <w:p w:rsidR="00C82B48" w:rsidRPr="003E0C55" w:rsidRDefault="00F20997" w:rsidP="00A211EC">
            <w:pPr>
              <w:pStyle w:val="Default"/>
              <w:jc w:val="both"/>
              <w:rPr>
                <w:color w:val="auto"/>
              </w:rPr>
            </w:pPr>
            <w:r w:rsidRPr="00FA5878">
              <w:rPr>
                <w:color w:val="auto"/>
              </w:rPr>
              <w:t>- 34.7% had experienced discrimination in accessing goods, facilities or services at least once.</w:t>
            </w:r>
          </w:p>
        </w:tc>
      </w:tr>
    </w:tbl>
    <w:p w:rsidR="0087304B" w:rsidRPr="003E0C55" w:rsidRDefault="00CE6933" w:rsidP="003E0C55">
      <w:pPr>
        <w:jc w:val="both"/>
        <w:rPr>
          <w:rFonts w:cs="Arial"/>
          <w:b/>
          <w:sz w:val="24"/>
        </w:rPr>
      </w:pPr>
      <w:r w:rsidRPr="003E0C55">
        <w:rPr>
          <w:rFonts w:cs="Arial"/>
          <w:b/>
          <w:sz w:val="24"/>
        </w:rPr>
        <w:br w:type="page"/>
      </w:r>
      <w:r w:rsidRPr="003E0C55">
        <w:rPr>
          <w:rFonts w:cs="Arial"/>
          <w:b/>
          <w:sz w:val="24"/>
        </w:rPr>
        <w:lastRenderedPageBreak/>
        <w:t>2.3</w:t>
      </w:r>
      <w:r w:rsidRPr="003E0C55">
        <w:rPr>
          <w:rFonts w:cs="Arial"/>
          <w:b/>
          <w:sz w:val="24"/>
        </w:rPr>
        <w:tab/>
      </w:r>
      <w:r w:rsidR="0087304B" w:rsidRPr="003E0C55">
        <w:rPr>
          <w:rFonts w:cs="Arial"/>
          <w:b/>
          <w:sz w:val="24"/>
        </w:rPr>
        <w:t>Qualitative Data</w:t>
      </w:r>
    </w:p>
    <w:p w:rsidR="0087304B" w:rsidRPr="003E0C55" w:rsidRDefault="0087304B" w:rsidP="003E0C55">
      <w:pPr>
        <w:spacing w:after="0"/>
        <w:ind w:left="700"/>
        <w:jc w:val="both"/>
        <w:rPr>
          <w:rFonts w:cs="Arial"/>
          <w:b/>
          <w:sz w:val="24"/>
        </w:rPr>
      </w:pPr>
      <w:r w:rsidRPr="003E0C55">
        <w:rPr>
          <w:rFonts w:cs="Arial"/>
          <w:b/>
          <w:sz w:val="24"/>
        </w:rPr>
        <w:t>What are the different needs, experiences and priorities of each of the categories in relation to this policy or decision and what equality issues emerge from this? Note if policy affects both staff and service users, please discuss issues for both.</w:t>
      </w:r>
    </w:p>
    <w:p w:rsidR="001239D0" w:rsidRPr="003E0C55" w:rsidRDefault="001239D0" w:rsidP="003E0C55">
      <w:pPr>
        <w:spacing w:after="0"/>
        <w:ind w:left="700"/>
        <w:jc w:val="both"/>
        <w:rPr>
          <w:rFonts w:cs="Arial"/>
          <w:b/>
          <w:sz w:val="24"/>
        </w:rPr>
      </w:pPr>
    </w:p>
    <w:p w:rsidR="00482FCF" w:rsidRPr="003E0C55" w:rsidRDefault="003C490E" w:rsidP="003E0C55">
      <w:pPr>
        <w:autoSpaceDE w:val="0"/>
        <w:autoSpaceDN w:val="0"/>
        <w:adjustRightInd w:val="0"/>
        <w:spacing w:after="0"/>
        <w:jc w:val="both"/>
        <w:rPr>
          <w:rFonts w:eastAsiaTheme="minorHAnsi" w:cs="Arial"/>
          <w:bCs/>
          <w:sz w:val="24"/>
        </w:rPr>
      </w:pPr>
      <w:r w:rsidRPr="003E0C55">
        <w:rPr>
          <w:rFonts w:eastAsiaTheme="minorHAnsi" w:cs="Arial"/>
          <w:bCs/>
          <w:sz w:val="24"/>
        </w:rPr>
        <w:t>See below</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716"/>
      </w:tblGrid>
      <w:tr w:rsidR="0087304B" w:rsidRPr="003E0C55" w:rsidTr="00FC2151">
        <w:tc>
          <w:tcPr>
            <w:tcW w:w="1526" w:type="dxa"/>
            <w:tcBorders>
              <w:bottom w:val="single" w:sz="4" w:space="0" w:color="auto"/>
            </w:tcBorders>
            <w:shd w:val="clear" w:color="auto" w:fill="B3B3B3"/>
          </w:tcPr>
          <w:p w:rsidR="0087304B" w:rsidRPr="003E0C55" w:rsidRDefault="0087304B" w:rsidP="003E0C55">
            <w:pPr>
              <w:spacing w:after="0"/>
              <w:jc w:val="both"/>
              <w:rPr>
                <w:rFonts w:cs="Arial"/>
                <w:b/>
                <w:bCs/>
                <w:i/>
                <w:iCs/>
                <w:sz w:val="24"/>
              </w:rPr>
            </w:pPr>
            <w:r w:rsidRPr="003E0C55">
              <w:rPr>
                <w:rFonts w:cs="Arial"/>
                <w:b/>
                <w:bCs/>
                <w:i/>
                <w:iCs/>
                <w:sz w:val="24"/>
              </w:rPr>
              <w:t>Category</w:t>
            </w:r>
          </w:p>
          <w:p w:rsidR="0087304B" w:rsidRPr="003E0C55" w:rsidRDefault="0087304B" w:rsidP="003E0C55">
            <w:pPr>
              <w:spacing w:after="0"/>
              <w:jc w:val="both"/>
              <w:rPr>
                <w:rFonts w:cs="Arial"/>
                <w:sz w:val="24"/>
              </w:rPr>
            </w:pPr>
          </w:p>
        </w:tc>
        <w:tc>
          <w:tcPr>
            <w:tcW w:w="7716" w:type="dxa"/>
            <w:shd w:val="clear" w:color="auto" w:fill="B3B3B3"/>
          </w:tcPr>
          <w:p w:rsidR="0087304B" w:rsidRPr="003E0C55" w:rsidRDefault="0087304B" w:rsidP="003E0C55">
            <w:pPr>
              <w:spacing w:after="0"/>
              <w:jc w:val="both"/>
              <w:rPr>
                <w:rFonts w:cs="Arial"/>
                <w:b/>
                <w:bCs/>
                <w:i/>
                <w:iCs/>
                <w:sz w:val="24"/>
              </w:rPr>
            </w:pPr>
            <w:r w:rsidRPr="003E0C55">
              <w:rPr>
                <w:rFonts w:cs="Arial"/>
                <w:b/>
                <w:bCs/>
                <w:i/>
                <w:iCs/>
                <w:sz w:val="24"/>
              </w:rPr>
              <w:t>Needs and Experiences</w:t>
            </w:r>
          </w:p>
        </w:tc>
      </w:tr>
      <w:tr w:rsidR="0087304B" w:rsidRPr="003E0C55" w:rsidTr="00FC2151">
        <w:tc>
          <w:tcPr>
            <w:tcW w:w="1526" w:type="dxa"/>
            <w:shd w:val="clear" w:color="auto" w:fill="E6E6E6"/>
          </w:tcPr>
          <w:p w:rsidR="0087304B" w:rsidRPr="003E0C55" w:rsidRDefault="0087304B" w:rsidP="003E0C55">
            <w:pPr>
              <w:spacing w:after="0"/>
              <w:jc w:val="both"/>
              <w:rPr>
                <w:rFonts w:cs="Arial"/>
                <w:sz w:val="24"/>
              </w:rPr>
            </w:pPr>
            <w:r w:rsidRPr="003E0C55">
              <w:rPr>
                <w:rFonts w:cs="Arial"/>
                <w:sz w:val="24"/>
              </w:rPr>
              <w:t>Gender</w:t>
            </w:r>
          </w:p>
        </w:tc>
        <w:tc>
          <w:tcPr>
            <w:tcW w:w="7716" w:type="dxa"/>
          </w:tcPr>
          <w:p w:rsidR="00D37D91" w:rsidRPr="003E0C55" w:rsidRDefault="007B744F" w:rsidP="008F2C7E">
            <w:pPr>
              <w:rPr>
                <w:rFonts w:cs="Arial"/>
                <w:sz w:val="24"/>
              </w:rPr>
            </w:pPr>
            <w:r>
              <w:rPr>
                <w:rFonts w:cs="Arial"/>
                <w:sz w:val="24"/>
              </w:rPr>
              <w:t>The strategy does not specifically identify</w:t>
            </w:r>
            <w:r w:rsidR="00D521E6">
              <w:rPr>
                <w:rFonts w:cs="Arial"/>
                <w:sz w:val="24"/>
              </w:rPr>
              <w:t xml:space="preserve"> different needs, experiences and priorities between males and females</w:t>
            </w:r>
            <w:r w:rsidR="00167DAB">
              <w:rPr>
                <w:rFonts w:cs="Arial"/>
                <w:sz w:val="24"/>
              </w:rPr>
              <w:t xml:space="preserve">.  </w:t>
            </w:r>
            <w:r w:rsidR="00167DAB" w:rsidRPr="00167DAB">
              <w:rPr>
                <w:rFonts w:cs="Arial"/>
                <w:sz w:val="24"/>
              </w:rPr>
              <w:t>Issues of gender and the differences of experiences between boys and girls</w:t>
            </w:r>
            <w:r w:rsidR="00167DAB">
              <w:rPr>
                <w:rFonts w:cs="Arial"/>
                <w:sz w:val="24"/>
              </w:rPr>
              <w:t xml:space="preserve"> may</w:t>
            </w:r>
            <w:r w:rsidR="00167DAB" w:rsidRPr="00167DAB">
              <w:rPr>
                <w:rFonts w:cs="Arial"/>
                <w:sz w:val="24"/>
              </w:rPr>
              <w:t xml:space="preserve"> need to be factored into </w:t>
            </w:r>
            <w:r w:rsidR="00167DAB">
              <w:rPr>
                <w:rFonts w:cs="Arial"/>
                <w:sz w:val="24"/>
              </w:rPr>
              <w:t>any engagements</w:t>
            </w:r>
            <w:r w:rsidR="00167DAB" w:rsidRPr="00167DAB">
              <w:rPr>
                <w:rFonts w:cs="Arial"/>
                <w:sz w:val="24"/>
              </w:rPr>
              <w:t>.</w:t>
            </w:r>
            <w:r w:rsidR="00933629">
              <w:rPr>
                <w:rFonts w:cs="Arial"/>
                <w:sz w:val="24"/>
              </w:rPr>
              <w:t xml:space="preserve"> Where sensitive issues are being explored, children and young people may be more likely to speak openly with others of the same gender. Issues relating to gender identity can be very sensitive and </w:t>
            </w:r>
            <w:r w:rsidR="008F2C7E">
              <w:rPr>
                <w:rFonts w:cs="Arial"/>
                <w:sz w:val="24"/>
              </w:rPr>
              <w:t>stakeholders may prefer</w:t>
            </w:r>
            <w:r w:rsidR="00933629">
              <w:rPr>
                <w:rFonts w:cs="Arial"/>
                <w:sz w:val="24"/>
              </w:rPr>
              <w:t xml:space="preserve"> on</w:t>
            </w:r>
            <w:r w:rsidR="008F2C7E">
              <w:rPr>
                <w:rFonts w:cs="Arial"/>
                <w:sz w:val="24"/>
              </w:rPr>
              <w:t>e</w:t>
            </w:r>
            <w:r w:rsidR="00933629">
              <w:rPr>
                <w:rFonts w:cs="Arial"/>
                <w:sz w:val="24"/>
              </w:rPr>
              <w:t>-to-one engagement</w:t>
            </w:r>
            <w:r w:rsidR="008F2C7E">
              <w:rPr>
                <w:rFonts w:cs="Arial"/>
                <w:sz w:val="24"/>
              </w:rPr>
              <w:t xml:space="preserve"> rather than a focus group setting</w:t>
            </w:r>
            <w:r w:rsidR="00933629">
              <w:rPr>
                <w:rFonts w:cs="Arial"/>
                <w:sz w:val="24"/>
              </w:rPr>
              <w:t>.</w:t>
            </w:r>
            <w:r w:rsidR="00167DAB" w:rsidRPr="00167DAB">
              <w:rPr>
                <w:rFonts w:cs="Arial"/>
                <w:sz w:val="24"/>
              </w:rPr>
              <w:t xml:space="preserve">  Therefore, understanding the context for children and young people in terms of gender must feature as </w:t>
            </w:r>
            <w:r w:rsidR="00BF6E29" w:rsidRPr="00167DAB">
              <w:rPr>
                <w:rFonts w:cs="Arial"/>
                <w:sz w:val="24"/>
              </w:rPr>
              <w:t>an</w:t>
            </w:r>
            <w:r w:rsidR="00167DAB" w:rsidRPr="00167DAB">
              <w:rPr>
                <w:rFonts w:cs="Arial"/>
                <w:sz w:val="24"/>
              </w:rPr>
              <w:t xml:space="preserve"> </w:t>
            </w:r>
            <w:r w:rsidR="00167DAB">
              <w:rPr>
                <w:rFonts w:cs="Arial"/>
                <w:sz w:val="24"/>
              </w:rPr>
              <w:t>element of engagement, where appropriate.</w:t>
            </w:r>
          </w:p>
        </w:tc>
      </w:tr>
      <w:tr w:rsidR="0087304B" w:rsidRPr="003E0C55" w:rsidTr="00FC2151">
        <w:tc>
          <w:tcPr>
            <w:tcW w:w="1526" w:type="dxa"/>
            <w:shd w:val="clear" w:color="auto" w:fill="E6E6E6"/>
          </w:tcPr>
          <w:p w:rsidR="0087304B" w:rsidRPr="003E0C55" w:rsidRDefault="0087304B" w:rsidP="003E0C55">
            <w:pPr>
              <w:spacing w:after="0"/>
              <w:jc w:val="both"/>
              <w:rPr>
                <w:rFonts w:cs="Arial"/>
                <w:sz w:val="24"/>
              </w:rPr>
            </w:pPr>
            <w:r w:rsidRPr="003E0C55">
              <w:rPr>
                <w:rFonts w:cs="Arial"/>
                <w:sz w:val="24"/>
              </w:rPr>
              <w:t>Age</w:t>
            </w:r>
          </w:p>
        </w:tc>
        <w:tc>
          <w:tcPr>
            <w:tcW w:w="7716" w:type="dxa"/>
          </w:tcPr>
          <w:p w:rsidR="00D37D91" w:rsidRDefault="00167DAB" w:rsidP="00D038BF">
            <w:pPr>
              <w:autoSpaceDE w:val="0"/>
              <w:autoSpaceDN w:val="0"/>
              <w:adjustRightInd w:val="0"/>
              <w:spacing w:after="0"/>
              <w:jc w:val="both"/>
              <w:rPr>
                <w:rFonts w:eastAsiaTheme="minorHAnsi" w:cs="Arial"/>
                <w:sz w:val="24"/>
              </w:rPr>
            </w:pPr>
            <w:r>
              <w:rPr>
                <w:rFonts w:eastAsiaTheme="minorHAnsi" w:cs="Arial"/>
                <w:sz w:val="24"/>
              </w:rPr>
              <w:t>The development and production of the strategy focussed on two different age groups, children up to the age of 11 and then 11-18 year olds.  Whilst common clear themes and messages to inform the strategy emerged for both years groups, there were differences of issues that were pertinent to these different age groups,</w:t>
            </w:r>
            <w:r w:rsidR="003E0E82">
              <w:rPr>
                <w:rFonts w:eastAsiaTheme="minorHAnsi" w:cs="Arial"/>
                <w:sz w:val="24"/>
              </w:rPr>
              <w:t xml:space="preserve"> and as such different mechanisms of engagement were used to </w:t>
            </w:r>
            <w:r w:rsidR="002E0DC0">
              <w:rPr>
                <w:rFonts w:eastAsiaTheme="minorHAnsi" w:cs="Arial"/>
                <w:sz w:val="24"/>
              </w:rPr>
              <w:t>elicit</w:t>
            </w:r>
            <w:r w:rsidR="003E0E82">
              <w:rPr>
                <w:rFonts w:eastAsiaTheme="minorHAnsi" w:cs="Arial"/>
                <w:sz w:val="24"/>
              </w:rPr>
              <w:t xml:space="preserve"> views form these group.</w:t>
            </w:r>
            <w:r w:rsidR="003E0E82" w:rsidDel="003E0E82">
              <w:rPr>
                <w:rFonts w:eastAsiaTheme="minorHAnsi" w:cs="Arial"/>
                <w:sz w:val="24"/>
              </w:rPr>
              <w:t xml:space="preserve"> </w:t>
            </w:r>
            <w:r w:rsidR="003E0E82">
              <w:rPr>
                <w:rFonts w:eastAsiaTheme="minorHAnsi" w:cs="Arial"/>
                <w:sz w:val="24"/>
              </w:rPr>
              <w:t xml:space="preserve">These will then be utilised in the </w:t>
            </w:r>
            <w:r w:rsidR="002E0DC0">
              <w:rPr>
                <w:rFonts w:eastAsiaTheme="minorHAnsi" w:cs="Arial"/>
                <w:sz w:val="24"/>
              </w:rPr>
              <w:t>various</w:t>
            </w:r>
            <w:r w:rsidR="003E0E82">
              <w:rPr>
                <w:rFonts w:eastAsiaTheme="minorHAnsi" w:cs="Arial"/>
                <w:sz w:val="24"/>
              </w:rPr>
              <w:t xml:space="preserve"> situations were engagements are occurring.  </w:t>
            </w:r>
          </w:p>
          <w:p w:rsidR="00B77A85" w:rsidRPr="003E0C55" w:rsidRDefault="00B77A85" w:rsidP="00D038BF">
            <w:pPr>
              <w:autoSpaceDE w:val="0"/>
              <w:autoSpaceDN w:val="0"/>
              <w:adjustRightInd w:val="0"/>
              <w:spacing w:after="0"/>
              <w:jc w:val="both"/>
              <w:rPr>
                <w:rFonts w:eastAsiaTheme="minorHAnsi" w:cs="Arial"/>
                <w:sz w:val="24"/>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t>Religion</w:t>
            </w:r>
          </w:p>
        </w:tc>
        <w:tc>
          <w:tcPr>
            <w:tcW w:w="7716" w:type="dxa"/>
            <w:tcBorders>
              <w:bottom w:val="single" w:sz="4" w:space="0" w:color="auto"/>
            </w:tcBorders>
          </w:tcPr>
          <w:p w:rsidR="00D37D91" w:rsidRDefault="007B744F" w:rsidP="003E0C55">
            <w:pPr>
              <w:spacing w:after="0"/>
              <w:jc w:val="both"/>
              <w:rPr>
                <w:rFonts w:cs="Arial"/>
                <w:sz w:val="24"/>
              </w:rPr>
            </w:pPr>
            <w:r w:rsidRPr="007B744F">
              <w:rPr>
                <w:rFonts w:cs="Arial"/>
                <w:sz w:val="24"/>
              </w:rPr>
              <w:t xml:space="preserve">There is no evidence of a differential impact on the grounds of religion </w:t>
            </w:r>
          </w:p>
          <w:p w:rsidR="00C2602A" w:rsidRPr="003E0C55" w:rsidRDefault="00C2602A" w:rsidP="003E0C55">
            <w:pPr>
              <w:spacing w:after="0"/>
              <w:jc w:val="both"/>
              <w:rPr>
                <w:rFonts w:cs="Arial"/>
                <w:sz w:val="24"/>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t>Political Opinion</w:t>
            </w:r>
          </w:p>
        </w:tc>
        <w:tc>
          <w:tcPr>
            <w:tcW w:w="7716" w:type="dxa"/>
            <w:tcBorders>
              <w:bottom w:val="nil"/>
            </w:tcBorders>
          </w:tcPr>
          <w:p w:rsidR="005B6BDA" w:rsidRDefault="007B744F" w:rsidP="003E0C55">
            <w:pPr>
              <w:spacing w:after="0"/>
              <w:jc w:val="both"/>
              <w:rPr>
                <w:rFonts w:cs="Arial"/>
                <w:sz w:val="24"/>
              </w:rPr>
            </w:pPr>
            <w:r w:rsidRPr="007B744F">
              <w:rPr>
                <w:rFonts w:cs="Arial"/>
                <w:sz w:val="24"/>
              </w:rPr>
              <w:t>There is no evidence of a differential impact on the grounds of</w:t>
            </w:r>
            <w:r>
              <w:rPr>
                <w:rFonts w:cs="Arial"/>
                <w:sz w:val="24"/>
              </w:rPr>
              <w:t xml:space="preserve"> political opinion</w:t>
            </w:r>
          </w:p>
          <w:p w:rsidR="00A07C75" w:rsidRPr="003E0C55" w:rsidRDefault="00A07C75" w:rsidP="003E0C55">
            <w:pPr>
              <w:spacing w:after="0"/>
              <w:jc w:val="both"/>
              <w:rPr>
                <w:rFonts w:cs="Arial"/>
                <w:sz w:val="24"/>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t>Marital Status</w:t>
            </w:r>
          </w:p>
        </w:tc>
        <w:tc>
          <w:tcPr>
            <w:tcW w:w="7716" w:type="dxa"/>
            <w:tcBorders>
              <w:top w:val="nil"/>
            </w:tcBorders>
          </w:tcPr>
          <w:p w:rsidR="00D1430F" w:rsidRDefault="007B744F" w:rsidP="003E0C55">
            <w:pPr>
              <w:autoSpaceDE w:val="0"/>
              <w:autoSpaceDN w:val="0"/>
              <w:adjustRightInd w:val="0"/>
              <w:spacing w:after="0"/>
              <w:jc w:val="both"/>
              <w:rPr>
                <w:rFonts w:cs="Arial"/>
                <w:sz w:val="24"/>
              </w:rPr>
            </w:pPr>
            <w:r w:rsidRPr="007B744F">
              <w:rPr>
                <w:rFonts w:cs="Arial"/>
                <w:sz w:val="24"/>
              </w:rPr>
              <w:t>There is no evidence of a differential impact on the grounds of</w:t>
            </w:r>
            <w:r>
              <w:rPr>
                <w:rFonts w:cs="Arial"/>
                <w:sz w:val="24"/>
              </w:rPr>
              <w:t xml:space="preserve"> marital status</w:t>
            </w:r>
          </w:p>
          <w:p w:rsidR="00C2602A" w:rsidRPr="003E0C55" w:rsidRDefault="00C2602A" w:rsidP="003E0C55">
            <w:pPr>
              <w:autoSpaceDE w:val="0"/>
              <w:autoSpaceDN w:val="0"/>
              <w:adjustRightInd w:val="0"/>
              <w:spacing w:after="0"/>
              <w:jc w:val="both"/>
              <w:rPr>
                <w:rFonts w:eastAsiaTheme="minorHAnsi" w:cs="Arial"/>
                <w:sz w:val="24"/>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t>Dependent Status</w:t>
            </w:r>
          </w:p>
        </w:tc>
        <w:tc>
          <w:tcPr>
            <w:tcW w:w="7716" w:type="dxa"/>
          </w:tcPr>
          <w:p w:rsidR="00285234" w:rsidRDefault="00167DAB" w:rsidP="00285234">
            <w:pPr>
              <w:pStyle w:val="Default"/>
              <w:jc w:val="both"/>
              <w:rPr>
                <w:snapToGrid w:val="0"/>
                <w:lang w:val="en-US"/>
              </w:rPr>
            </w:pPr>
            <w:r>
              <w:rPr>
                <w:snapToGrid w:val="0"/>
                <w:lang w:val="en-US"/>
              </w:rPr>
              <w:t xml:space="preserve">The needs and experiences of children and young people who are carers </w:t>
            </w:r>
            <w:r w:rsidR="0059110A" w:rsidRPr="0059110A">
              <w:rPr>
                <w:snapToGrid w:val="0"/>
              </w:rPr>
              <w:t>may need to be factored into any engagements</w:t>
            </w:r>
            <w:r>
              <w:rPr>
                <w:snapToGrid w:val="0"/>
                <w:lang w:val="en-US"/>
              </w:rPr>
              <w:t>, where appropriate.</w:t>
            </w:r>
            <w:r w:rsidR="00285234">
              <w:rPr>
                <w:snapToGrid w:val="0"/>
                <w:lang w:val="en-US"/>
              </w:rPr>
              <w:t xml:space="preserve">  </w:t>
            </w:r>
            <w:r w:rsidR="00285234" w:rsidRPr="0059110A">
              <w:rPr>
                <w:snapToGrid w:val="0"/>
              </w:rPr>
              <w:t xml:space="preserve">Therefore, understanding the context for children and young people in terms of </w:t>
            </w:r>
            <w:r w:rsidR="00C2602A">
              <w:rPr>
                <w:snapToGrid w:val="0"/>
              </w:rPr>
              <w:t>their caring responsibilities</w:t>
            </w:r>
            <w:r w:rsidR="00285234" w:rsidRPr="0059110A">
              <w:rPr>
                <w:snapToGrid w:val="0"/>
              </w:rPr>
              <w:t xml:space="preserve"> must feature as </w:t>
            </w:r>
            <w:r w:rsidR="00BF6E29" w:rsidRPr="0059110A">
              <w:rPr>
                <w:snapToGrid w:val="0"/>
              </w:rPr>
              <w:t>an</w:t>
            </w:r>
            <w:r w:rsidR="00285234" w:rsidRPr="0059110A">
              <w:rPr>
                <w:snapToGrid w:val="0"/>
              </w:rPr>
              <w:t xml:space="preserve"> element of engagement, where appropriate.</w:t>
            </w:r>
          </w:p>
          <w:p w:rsidR="008E3EEE" w:rsidRPr="003E0C55" w:rsidRDefault="008E3EEE" w:rsidP="00C2602A">
            <w:pPr>
              <w:pStyle w:val="Default"/>
              <w:jc w:val="both"/>
              <w:rPr>
                <w:snapToGrid w:val="0"/>
                <w:lang w:val="en-US"/>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t>Disability</w:t>
            </w:r>
          </w:p>
        </w:tc>
        <w:tc>
          <w:tcPr>
            <w:tcW w:w="7716" w:type="dxa"/>
          </w:tcPr>
          <w:p w:rsidR="00C2602A" w:rsidRPr="00C2602A" w:rsidRDefault="00C2602A" w:rsidP="00C2602A">
            <w:pPr>
              <w:autoSpaceDE w:val="0"/>
              <w:autoSpaceDN w:val="0"/>
              <w:adjustRightInd w:val="0"/>
              <w:spacing w:after="0"/>
              <w:jc w:val="both"/>
              <w:rPr>
                <w:rFonts w:eastAsiaTheme="minorHAnsi" w:cs="Arial"/>
                <w:color w:val="000000"/>
                <w:sz w:val="24"/>
              </w:rPr>
            </w:pPr>
            <w:r w:rsidRPr="00C2602A">
              <w:rPr>
                <w:rFonts w:eastAsiaTheme="minorHAnsi" w:cs="Arial"/>
                <w:color w:val="000000"/>
                <w:sz w:val="24"/>
              </w:rPr>
              <w:t>Generally, given that disabled children and young people are particularly vulnerable to all forms of abuse,</w:t>
            </w:r>
            <w:r w:rsidR="00781578">
              <w:rPr>
                <w:rFonts w:eastAsiaTheme="minorHAnsi" w:cs="Arial"/>
                <w:color w:val="000000"/>
                <w:sz w:val="24"/>
              </w:rPr>
              <w:t xml:space="preserve"> all</w:t>
            </w:r>
            <w:r w:rsidRPr="00C2602A">
              <w:rPr>
                <w:rFonts w:eastAsiaTheme="minorHAnsi" w:cs="Arial"/>
                <w:color w:val="000000"/>
                <w:sz w:val="24"/>
              </w:rPr>
              <w:t xml:space="preserve"> </w:t>
            </w:r>
            <w:r>
              <w:rPr>
                <w:rFonts w:eastAsiaTheme="minorHAnsi" w:cs="Arial"/>
                <w:color w:val="000000"/>
                <w:sz w:val="24"/>
              </w:rPr>
              <w:t>engagements</w:t>
            </w:r>
            <w:r w:rsidRPr="00C2602A">
              <w:rPr>
                <w:rFonts w:eastAsiaTheme="minorHAnsi" w:cs="Arial"/>
                <w:color w:val="000000"/>
                <w:sz w:val="24"/>
              </w:rPr>
              <w:t xml:space="preserve"> </w:t>
            </w:r>
            <w:r w:rsidR="00953B7A">
              <w:rPr>
                <w:rFonts w:eastAsiaTheme="minorHAnsi" w:cs="Arial"/>
                <w:color w:val="000000"/>
                <w:sz w:val="24"/>
              </w:rPr>
              <w:t xml:space="preserve">involving </w:t>
            </w:r>
            <w:r w:rsidRPr="00C2602A">
              <w:rPr>
                <w:rFonts w:eastAsiaTheme="minorHAnsi" w:cs="Arial"/>
                <w:color w:val="000000"/>
                <w:sz w:val="24"/>
              </w:rPr>
              <w:t xml:space="preserve">children and young people with a disability </w:t>
            </w:r>
            <w:r w:rsidR="00781578">
              <w:rPr>
                <w:rFonts w:eastAsiaTheme="minorHAnsi" w:cs="Arial"/>
                <w:color w:val="000000"/>
                <w:sz w:val="24"/>
              </w:rPr>
              <w:t>must include them</w:t>
            </w:r>
            <w:r w:rsidR="002E0DC0">
              <w:rPr>
                <w:rFonts w:eastAsiaTheme="minorHAnsi" w:cs="Arial"/>
                <w:color w:val="000000"/>
                <w:sz w:val="24"/>
              </w:rPr>
              <w:t>.</w:t>
            </w:r>
            <w:r w:rsidR="00781578">
              <w:rPr>
                <w:rFonts w:eastAsiaTheme="minorHAnsi" w:cs="Arial"/>
                <w:color w:val="000000"/>
                <w:sz w:val="24"/>
              </w:rPr>
              <w:t xml:space="preserve"> </w:t>
            </w:r>
          </w:p>
          <w:p w:rsidR="00D038BF" w:rsidRDefault="00D038BF" w:rsidP="00D038BF">
            <w:pPr>
              <w:autoSpaceDE w:val="0"/>
              <w:autoSpaceDN w:val="0"/>
              <w:adjustRightInd w:val="0"/>
              <w:spacing w:after="0"/>
              <w:jc w:val="both"/>
              <w:rPr>
                <w:rFonts w:eastAsiaTheme="minorHAnsi" w:cs="Arial"/>
                <w:sz w:val="24"/>
              </w:rPr>
            </w:pPr>
            <w:r>
              <w:rPr>
                <w:rFonts w:eastAsiaTheme="minorHAnsi" w:cs="Arial"/>
                <w:sz w:val="24"/>
              </w:rPr>
              <w:lastRenderedPageBreak/>
              <w:t xml:space="preserve">Additionally, this engagement strategy commits SBNI member agencies and where appropriate other organisations providing a service to the SBNI, to take into account the use of BSL/ISL interpreters where </w:t>
            </w:r>
            <w:r w:rsidR="00140D6A">
              <w:rPr>
                <w:rFonts w:eastAsiaTheme="minorHAnsi" w:cs="Arial"/>
                <w:sz w:val="24"/>
              </w:rPr>
              <w:t>appropriate</w:t>
            </w:r>
            <w:r>
              <w:rPr>
                <w:rFonts w:eastAsiaTheme="minorHAnsi" w:cs="Arial"/>
                <w:sz w:val="24"/>
              </w:rPr>
              <w:t>.</w:t>
            </w:r>
          </w:p>
          <w:p w:rsidR="00D37D91" w:rsidRPr="003E0C55" w:rsidRDefault="00D37D91" w:rsidP="00781578">
            <w:pPr>
              <w:autoSpaceDE w:val="0"/>
              <w:autoSpaceDN w:val="0"/>
              <w:adjustRightInd w:val="0"/>
              <w:spacing w:after="0"/>
              <w:jc w:val="both"/>
              <w:rPr>
                <w:rFonts w:eastAsiaTheme="minorHAnsi" w:cs="Arial"/>
                <w:color w:val="000000"/>
                <w:sz w:val="24"/>
              </w:rPr>
            </w:pPr>
          </w:p>
        </w:tc>
      </w:tr>
      <w:tr w:rsidR="00D1430F" w:rsidRPr="003E0C55" w:rsidTr="00FC2151">
        <w:tc>
          <w:tcPr>
            <w:tcW w:w="1526" w:type="dxa"/>
            <w:shd w:val="clear" w:color="auto" w:fill="E6E6E6"/>
          </w:tcPr>
          <w:p w:rsidR="00D1430F" w:rsidRPr="003E0C55" w:rsidRDefault="00D1430F" w:rsidP="003E0C55">
            <w:pPr>
              <w:spacing w:after="0"/>
              <w:jc w:val="both"/>
              <w:rPr>
                <w:rFonts w:cs="Arial"/>
                <w:sz w:val="24"/>
              </w:rPr>
            </w:pPr>
            <w:r w:rsidRPr="003E0C55">
              <w:rPr>
                <w:rFonts w:cs="Arial"/>
                <w:sz w:val="24"/>
              </w:rPr>
              <w:lastRenderedPageBreak/>
              <w:t>Ethnicity</w:t>
            </w:r>
          </w:p>
        </w:tc>
        <w:tc>
          <w:tcPr>
            <w:tcW w:w="7716" w:type="dxa"/>
          </w:tcPr>
          <w:p w:rsidR="002E0DC0" w:rsidRDefault="00A07C75" w:rsidP="00A07C75">
            <w:pPr>
              <w:autoSpaceDE w:val="0"/>
              <w:autoSpaceDN w:val="0"/>
              <w:adjustRightInd w:val="0"/>
              <w:spacing w:after="0"/>
              <w:jc w:val="both"/>
              <w:rPr>
                <w:rFonts w:eastAsiaTheme="minorHAnsi" w:cs="Arial"/>
                <w:sz w:val="24"/>
              </w:rPr>
            </w:pPr>
            <w:r w:rsidRPr="00A07C75">
              <w:rPr>
                <w:rFonts w:eastAsiaTheme="minorHAnsi" w:cs="Arial"/>
                <w:sz w:val="24"/>
              </w:rPr>
              <w:t xml:space="preserve">Issues of ethnicity and the differences of experiences between children and young people who come from different ethnic backgrounds </w:t>
            </w:r>
            <w:r>
              <w:rPr>
                <w:rFonts w:eastAsiaTheme="minorHAnsi" w:cs="Arial"/>
                <w:sz w:val="24"/>
              </w:rPr>
              <w:t>who live</w:t>
            </w:r>
            <w:r w:rsidRPr="00A07C75">
              <w:rPr>
                <w:rFonts w:eastAsiaTheme="minorHAnsi" w:cs="Arial"/>
                <w:sz w:val="24"/>
              </w:rPr>
              <w:t xml:space="preserve"> in Northern Ireland need to be f</w:t>
            </w:r>
            <w:r>
              <w:rPr>
                <w:rFonts w:eastAsiaTheme="minorHAnsi" w:cs="Arial"/>
                <w:sz w:val="24"/>
              </w:rPr>
              <w:t>actored into engagements, where appropriate</w:t>
            </w:r>
            <w:r w:rsidRPr="00A07C75">
              <w:rPr>
                <w:rFonts w:eastAsiaTheme="minorHAnsi" w:cs="Arial"/>
                <w:sz w:val="24"/>
              </w:rPr>
              <w:t xml:space="preserve">.  </w:t>
            </w:r>
            <w:r w:rsidR="002E0DC0">
              <w:rPr>
                <w:rFonts w:eastAsiaTheme="minorHAnsi" w:cs="Arial"/>
                <w:sz w:val="24"/>
              </w:rPr>
              <w:t>In particular, this engagement strategy commits SBNI member agencies and where appropriate other organisations providing a service to the SBNI, to take into account the use of interpreters where a child or young person does not speak English</w:t>
            </w:r>
            <w:r w:rsidR="00D038BF">
              <w:rPr>
                <w:rFonts w:eastAsiaTheme="minorHAnsi" w:cs="Arial"/>
                <w:sz w:val="24"/>
              </w:rPr>
              <w:t>.</w:t>
            </w:r>
          </w:p>
          <w:p w:rsidR="002E0DC0" w:rsidRDefault="002E0DC0" w:rsidP="00A07C75">
            <w:pPr>
              <w:autoSpaceDE w:val="0"/>
              <w:autoSpaceDN w:val="0"/>
              <w:adjustRightInd w:val="0"/>
              <w:spacing w:after="0"/>
              <w:jc w:val="both"/>
              <w:rPr>
                <w:rFonts w:eastAsiaTheme="minorHAnsi" w:cs="Arial"/>
                <w:sz w:val="24"/>
              </w:rPr>
            </w:pPr>
          </w:p>
          <w:p w:rsidR="00A07C75" w:rsidRDefault="00A07C75" w:rsidP="00A07C75">
            <w:pPr>
              <w:autoSpaceDE w:val="0"/>
              <w:autoSpaceDN w:val="0"/>
              <w:adjustRightInd w:val="0"/>
              <w:spacing w:after="0"/>
              <w:jc w:val="both"/>
              <w:rPr>
                <w:rFonts w:eastAsiaTheme="minorHAnsi" w:cs="Arial"/>
                <w:sz w:val="24"/>
              </w:rPr>
            </w:pPr>
            <w:r w:rsidRPr="00A07C75">
              <w:rPr>
                <w:rFonts w:eastAsiaTheme="minorHAnsi" w:cs="Arial"/>
                <w:sz w:val="24"/>
              </w:rPr>
              <w:t>Therefore, understanding the context for children and young people in terms of ethnicity must feature as a learning outcome in any training designed and developed across all levels of the framework, where appropriate.</w:t>
            </w:r>
            <w:r w:rsidR="00710EEB">
              <w:rPr>
                <w:rFonts w:eastAsiaTheme="minorHAnsi" w:cs="Arial"/>
                <w:sz w:val="24"/>
              </w:rPr>
              <w:t xml:space="preserve"> </w:t>
            </w:r>
          </w:p>
          <w:p w:rsidR="00D038BF" w:rsidRDefault="00D038BF" w:rsidP="00A07C75">
            <w:pPr>
              <w:autoSpaceDE w:val="0"/>
              <w:autoSpaceDN w:val="0"/>
              <w:adjustRightInd w:val="0"/>
              <w:spacing w:after="0"/>
              <w:jc w:val="both"/>
              <w:rPr>
                <w:rFonts w:eastAsiaTheme="minorHAnsi" w:cs="Arial"/>
                <w:sz w:val="24"/>
              </w:rPr>
            </w:pPr>
          </w:p>
          <w:p w:rsidR="00D038BF" w:rsidRPr="00A07C75" w:rsidRDefault="00D038BF" w:rsidP="00A07C75">
            <w:pPr>
              <w:autoSpaceDE w:val="0"/>
              <w:autoSpaceDN w:val="0"/>
              <w:adjustRightInd w:val="0"/>
              <w:spacing w:after="0"/>
              <w:jc w:val="both"/>
              <w:rPr>
                <w:rFonts w:eastAsiaTheme="minorHAnsi" w:cs="Arial"/>
                <w:sz w:val="24"/>
              </w:rPr>
            </w:pPr>
            <w:r>
              <w:rPr>
                <w:rFonts w:eastAsiaTheme="minorHAnsi" w:cs="Arial"/>
                <w:sz w:val="24"/>
              </w:rPr>
              <w:t>If as a result of engagement, written materials are used, these will need to be translated where appropriate.</w:t>
            </w:r>
          </w:p>
          <w:p w:rsidR="00D37D91" w:rsidRPr="003E0C55" w:rsidRDefault="00D37D91" w:rsidP="00A07C75">
            <w:pPr>
              <w:autoSpaceDE w:val="0"/>
              <w:autoSpaceDN w:val="0"/>
              <w:adjustRightInd w:val="0"/>
              <w:spacing w:after="0"/>
              <w:jc w:val="both"/>
              <w:rPr>
                <w:rFonts w:eastAsiaTheme="minorHAnsi" w:cs="Arial"/>
                <w:sz w:val="24"/>
              </w:rPr>
            </w:pPr>
          </w:p>
        </w:tc>
      </w:tr>
      <w:tr w:rsidR="00194827" w:rsidRPr="003E0C55" w:rsidTr="00FC2151">
        <w:tc>
          <w:tcPr>
            <w:tcW w:w="1526" w:type="dxa"/>
            <w:shd w:val="clear" w:color="auto" w:fill="E6E6E6"/>
          </w:tcPr>
          <w:p w:rsidR="00194827" w:rsidRPr="003E0C55" w:rsidRDefault="00194827" w:rsidP="003E0C55">
            <w:pPr>
              <w:spacing w:after="0"/>
              <w:jc w:val="both"/>
              <w:rPr>
                <w:rFonts w:cs="Arial"/>
                <w:sz w:val="24"/>
              </w:rPr>
            </w:pPr>
            <w:r w:rsidRPr="003E0C55">
              <w:rPr>
                <w:rFonts w:cs="Arial"/>
                <w:sz w:val="24"/>
              </w:rPr>
              <w:t>Sexual Orientation</w:t>
            </w:r>
          </w:p>
        </w:tc>
        <w:tc>
          <w:tcPr>
            <w:tcW w:w="7716" w:type="dxa"/>
          </w:tcPr>
          <w:p w:rsidR="00A07C75" w:rsidRDefault="00A07C75" w:rsidP="003E0C55">
            <w:pPr>
              <w:autoSpaceDE w:val="0"/>
              <w:autoSpaceDN w:val="0"/>
              <w:adjustRightInd w:val="0"/>
              <w:spacing w:after="0"/>
              <w:jc w:val="both"/>
              <w:rPr>
                <w:rFonts w:eastAsiaTheme="minorHAnsi" w:cs="Arial"/>
                <w:sz w:val="24"/>
              </w:rPr>
            </w:pPr>
            <w:r w:rsidRPr="00A07C75">
              <w:rPr>
                <w:rFonts w:eastAsiaTheme="minorHAnsi" w:cs="Arial"/>
                <w:sz w:val="24"/>
              </w:rPr>
              <w:t xml:space="preserve">Issues of sexual orientation and the differences of experiences between children and young people who have different sexual orientations </w:t>
            </w:r>
            <w:r>
              <w:rPr>
                <w:rFonts w:eastAsiaTheme="minorHAnsi" w:cs="Arial"/>
                <w:sz w:val="24"/>
              </w:rPr>
              <w:t xml:space="preserve">may </w:t>
            </w:r>
            <w:r w:rsidRPr="00A07C75">
              <w:rPr>
                <w:rFonts w:eastAsiaTheme="minorHAnsi" w:cs="Arial"/>
                <w:sz w:val="24"/>
              </w:rPr>
              <w:t xml:space="preserve">need to be factored into </w:t>
            </w:r>
            <w:r>
              <w:rPr>
                <w:rFonts w:eastAsiaTheme="minorHAnsi" w:cs="Arial"/>
                <w:sz w:val="24"/>
              </w:rPr>
              <w:t>engagements, where appropriate</w:t>
            </w:r>
            <w:r w:rsidRPr="00A07C75">
              <w:rPr>
                <w:rFonts w:eastAsiaTheme="minorHAnsi" w:cs="Arial"/>
                <w:sz w:val="24"/>
              </w:rPr>
              <w:t xml:space="preserve">.  </w:t>
            </w:r>
          </w:p>
          <w:p w:rsidR="00194827" w:rsidRPr="003E0C55" w:rsidRDefault="00194827" w:rsidP="00A07C75">
            <w:pPr>
              <w:autoSpaceDE w:val="0"/>
              <w:autoSpaceDN w:val="0"/>
              <w:adjustRightInd w:val="0"/>
              <w:spacing w:after="0"/>
              <w:jc w:val="both"/>
              <w:rPr>
                <w:rFonts w:eastAsiaTheme="minorHAnsi" w:cs="Arial"/>
                <w:sz w:val="24"/>
              </w:rPr>
            </w:pPr>
          </w:p>
        </w:tc>
      </w:tr>
    </w:tbl>
    <w:p w:rsidR="003C678A" w:rsidRPr="003E0C55" w:rsidRDefault="003C678A" w:rsidP="003E0C55">
      <w:pPr>
        <w:spacing w:after="0"/>
        <w:jc w:val="both"/>
        <w:rPr>
          <w:rFonts w:cs="Arial"/>
          <w:sz w:val="24"/>
        </w:rPr>
      </w:pPr>
    </w:p>
    <w:p w:rsidR="00FC2151" w:rsidRDefault="00FC2151"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D038BF" w:rsidRDefault="00D038BF" w:rsidP="003E0C55">
      <w:pPr>
        <w:spacing w:after="0"/>
        <w:jc w:val="both"/>
        <w:rPr>
          <w:rFonts w:cs="Arial"/>
          <w:sz w:val="24"/>
        </w:rPr>
      </w:pPr>
    </w:p>
    <w:p w:rsidR="00B77A85" w:rsidRDefault="00B77A85" w:rsidP="003E0C55">
      <w:pPr>
        <w:spacing w:after="0"/>
        <w:jc w:val="both"/>
        <w:rPr>
          <w:rFonts w:cs="Arial"/>
          <w:sz w:val="24"/>
        </w:rPr>
      </w:pPr>
    </w:p>
    <w:p w:rsidR="00D37D91" w:rsidRPr="003E0C55" w:rsidRDefault="00D37D91" w:rsidP="003E0C55">
      <w:pPr>
        <w:spacing w:after="0"/>
        <w:jc w:val="both"/>
        <w:rPr>
          <w:rFonts w:cs="Arial"/>
          <w:sz w:val="24"/>
        </w:rPr>
      </w:pPr>
    </w:p>
    <w:p w:rsidR="0087304B" w:rsidRPr="00D038BF" w:rsidRDefault="0087304B" w:rsidP="009B5881">
      <w:pPr>
        <w:pStyle w:val="ListParagraph"/>
        <w:numPr>
          <w:ilvl w:val="1"/>
          <w:numId w:val="18"/>
        </w:numPr>
        <w:jc w:val="both"/>
        <w:rPr>
          <w:rFonts w:ascii="Arial" w:hAnsi="Arial" w:cs="Arial"/>
          <w:b/>
          <w:sz w:val="24"/>
        </w:rPr>
      </w:pPr>
      <w:r w:rsidRPr="00D038BF">
        <w:rPr>
          <w:rFonts w:ascii="Arial" w:hAnsi="Arial" w:cs="Arial"/>
          <w:b/>
          <w:sz w:val="24"/>
        </w:rPr>
        <w:t>Multiple Identities</w:t>
      </w:r>
    </w:p>
    <w:p w:rsidR="0087304B" w:rsidRDefault="0087304B" w:rsidP="003E0C55">
      <w:pPr>
        <w:ind w:left="700"/>
        <w:jc w:val="both"/>
        <w:rPr>
          <w:rFonts w:cs="Arial"/>
          <w:b/>
          <w:sz w:val="24"/>
        </w:rPr>
      </w:pPr>
      <w:r w:rsidRPr="003E0C55">
        <w:rPr>
          <w:rFonts w:cs="Arial"/>
          <w:b/>
          <w:sz w:val="24"/>
        </w:rPr>
        <w:t>Are there any potential impacts of the policy or decision on people with multiple identities? For example; disabled minority ethnic people; disabled women; young Protestant men; and young lesbians, gay and bisexual people.</w:t>
      </w:r>
    </w:p>
    <w:p w:rsidR="00D038BF" w:rsidRPr="003E0C55" w:rsidRDefault="00D038BF" w:rsidP="003E0C55">
      <w:pPr>
        <w:ind w:left="700"/>
        <w:jc w:val="both"/>
        <w:rPr>
          <w:rFonts w:cs="Arial"/>
          <w:b/>
          <w:sz w:val="24"/>
        </w:rPr>
      </w:pPr>
    </w:p>
    <w:tbl>
      <w:tblPr>
        <w:tblpPr w:leftFromText="180" w:rightFromText="180" w:vertAnchor="text" w:horzAnchor="margin" w:tblpY="41"/>
        <w:tblW w:w="1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gridCol w:w="9242"/>
      </w:tblGrid>
      <w:tr w:rsidR="007B744F" w:rsidRPr="003E0C55" w:rsidTr="007B744F">
        <w:trPr>
          <w:trHeight w:val="2272"/>
        </w:trPr>
        <w:tc>
          <w:tcPr>
            <w:tcW w:w="9242" w:type="dxa"/>
          </w:tcPr>
          <w:p w:rsidR="007B744F" w:rsidRDefault="007B744F" w:rsidP="007B744F">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 xml:space="preserve">It is possible that some of the work to be taken forward in the </w:t>
            </w:r>
            <w:r>
              <w:rPr>
                <w:rFonts w:eastAsiaTheme="minorHAnsi" w:cs="Arial"/>
                <w:color w:val="000000"/>
                <w:sz w:val="24"/>
              </w:rPr>
              <w:t>Engagement Strategy</w:t>
            </w:r>
            <w:r w:rsidRPr="006343CB">
              <w:rPr>
                <w:rFonts w:eastAsiaTheme="minorHAnsi" w:cs="Arial"/>
                <w:color w:val="000000"/>
                <w:sz w:val="24"/>
              </w:rPr>
              <w:t xml:space="preserve"> may impact on peop</w:t>
            </w:r>
            <w:r>
              <w:rPr>
                <w:rFonts w:eastAsiaTheme="minorHAnsi" w:cs="Arial"/>
                <w:color w:val="000000"/>
                <w:sz w:val="24"/>
              </w:rPr>
              <w:t xml:space="preserve">le with multiple identities. The SBNI recognises that the </w:t>
            </w:r>
            <w:r w:rsidRPr="006343CB">
              <w:rPr>
                <w:rFonts w:eastAsiaTheme="minorHAnsi" w:cs="Arial"/>
                <w:color w:val="000000"/>
                <w:sz w:val="24"/>
              </w:rPr>
              <w:t>needs and experiences of people with multiple i</w:t>
            </w:r>
            <w:r>
              <w:rPr>
                <w:rFonts w:eastAsiaTheme="minorHAnsi" w:cs="Arial"/>
                <w:color w:val="000000"/>
                <w:sz w:val="24"/>
              </w:rPr>
              <w:t xml:space="preserve">dentities will vary across our </w:t>
            </w:r>
            <w:r w:rsidRPr="006343CB">
              <w:rPr>
                <w:rFonts w:eastAsiaTheme="minorHAnsi" w:cs="Arial"/>
                <w:color w:val="000000"/>
                <w:sz w:val="24"/>
              </w:rPr>
              <w:t xml:space="preserve">work. </w:t>
            </w:r>
          </w:p>
          <w:p w:rsidR="009B5881" w:rsidRDefault="009B5881" w:rsidP="007B744F">
            <w:pPr>
              <w:autoSpaceDE w:val="0"/>
              <w:autoSpaceDN w:val="0"/>
              <w:adjustRightInd w:val="0"/>
              <w:spacing w:after="0"/>
              <w:jc w:val="both"/>
              <w:rPr>
                <w:rFonts w:eastAsiaTheme="minorHAnsi" w:cs="Arial"/>
                <w:color w:val="000000"/>
                <w:sz w:val="24"/>
              </w:rPr>
            </w:pPr>
          </w:p>
          <w:p w:rsidR="009B5881" w:rsidRDefault="009B5881" w:rsidP="007B744F">
            <w:pPr>
              <w:autoSpaceDE w:val="0"/>
              <w:autoSpaceDN w:val="0"/>
              <w:adjustRightInd w:val="0"/>
              <w:spacing w:after="0"/>
              <w:jc w:val="both"/>
              <w:rPr>
                <w:rFonts w:eastAsiaTheme="minorHAnsi" w:cs="Arial"/>
                <w:color w:val="000000"/>
                <w:sz w:val="24"/>
              </w:rPr>
            </w:pPr>
            <w:r w:rsidRPr="009B5881">
              <w:rPr>
                <w:rFonts w:eastAsiaTheme="minorHAnsi" w:cs="Arial"/>
                <w:color w:val="000000"/>
                <w:sz w:val="24"/>
              </w:rPr>
              <w:t>It remains the responsibilities of member agencies</w:t>
            </w:r>
            <w:r>
              <w:rPr>
                <w:rFonts w:eastAsiaTheme="minorHAnsi" w:cs="Arial"/>
                <w:color w:val="000000"/>
                <w:sz w:val="24"/>
              </w:rPr>
              <w:t xml:space="preserve">: the SBNI Board, the SBNI statutory and non-statutory committees and sub-groups and those suppliers where appropriate, </w:t>
            </w:r>
            <w:r w:rsidRPr="009B5881">
              <w:rPr>
                <w:rFonts w:eastAsiaTheme="minorHAnsi" w:cs="Arial"/>
                <w:color w:val="000000"/>
                <w:sz w:val="24"/>
              </w:rPr>
              <w:t xml:space="preserve"> who will use this strategy to </w:t>
            </w:r>
            <w:r>
              <w:rPr>
                <w:rFonts w:eastAsiaTheme="minorHAnsi" w:cs="Arial"/>
                <w:color w:val="000000"/>
                <w:sz w:val="24"/>
              </w:rPr>
              <w:t>engage directly with children and young people to ensure</w:t>
            </w:r>
            <w:r w:rsidRPr="009B5881">
              <w:rPr>
                <w:rFonts w:eastAsiaTheme="minorHAnsi" w:cs="Arial"/>
                <w:color w:val="000000"/>
                <w:sz w:val="24"/>
              </w:rPr>
              <w:t xml:space="preserve"> that potential impacts are considered and mitigated, It will be their </w:t>
            </w:r>
            <w:r>
              <w:rPr>
                <w:rFonts w:eastAsiaTheme="minorHAnsi" w:cs="Arial"/>
                <w:color w:val="000000"/>
                <w:sz w:val="24"/>
              </w:rPr>
              <w:t>individual and specific responsivities</w:t>
            </w:r>
            <w:r w:rsidRPr="009B5881">
              <w:rPr>
                <w:rFonts w:eastAsiaTheme="minorHAnsi" w:cs="Arial"/>
                <w:color w:val="000000"/>
                <w:sz w:val="24"/>
              </w:rPr>
              <w:t xml:space="preserve"> to screen </w:t>
            </w:r>
            <w:r>
              <w:rPr>
                <w:rFonts w:eastAsiaTheme="minorHAnsi" w:cs="Arial"/>
                <w:color w:val="000000"/>
                <w:sz w:val="24"/>
              </w:rPr>
              <w:t>any engagements, where appropriate</w:t>
            </w:r>
            <w:r w:rsidRPr="009B5881">
              <w:rPr>
                <w:rFonts w:eastAsiaTheme="minorHAnsi" w:cs="Arial"/>
                <w:color w:val="000000"/>
                <w:sz w:val="24"/>
              </w:rPr>
              <w:t xml:space="preserve"> individually to ensure that the potential impacts of each are considered fully considered in that context</w:t>
            </w:r>
          </w:p>
          <w:p w:rsidR="007B744F" w:rsidRDefault="007B744F" w:rsidP="007B744F">
            <w:pPr>
              <w:autoSpaceDE w:val="0"/>
              <w:autoSpaceDN w:val="0"/>
              <w:adjustRightInd w:val="0"/>
              <w:spacing w:after="0"/>
              <w:jc w:val="both"/>
              <w:rPr>
                <w:rFonts w:eastAsiaTheme="minorHAnsi" w:cs="Arial"/>
                <w:color w:val="000000"/>
                <w:sz w:val="24"/>
              </w:rPr>
            </w:pPr>
          </w:p>
          <w:p w:rsidR="007B744F" w:rsidRPr="003E0C55" w:rsidRDefault="007B744F" w:rsidP="007B744F">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In our commitment to ensuring that potent</w:t>
            </w:r>
            <w:r>
              <w:rPr>
                <w:rFonts w:eastAsiaTheme="minorHAnsi" w:cs="Arial"/>
                <w:color w:val="000000"/>
                <w:sz w:val="24"/>
              </w:rPr>
              <w:t>ial impacts are considered and mitigated, the SBNI</w:t>
            </w:r>
            <w:r w:rsidRPr="006343CB">
              <w:rPr>
                <w:rFonts w:eastAsiaTheme="minorHAnsi" w:cs="Arial"/>
                <w:color w:val="000000"/>
                <w:sz w:val="24"/>
              </w:rPr>
              <w:t xml:space="preserve"> will screen </w:t>
            </w:r>
            <w:r w:rsidR="009B5881">
              <w:rPr>
                <w:rFonts w:eastAsiaTheme="minorHAnsi" w:cs="Arial"/>
                <w:color w:val="000000"/>
                <w:sz w:val="24"/>
              </w:rPr>
              <w:t>engagement activities</w:t>
            </w:r>
            <w:r w:rsidRPr="006343CB">
              <w:rPr>
                <w:rFonts w:eastAsiaTheme="minorHAnsi" w:cs="Arial"/>
                <w:color w:val="000000"/>
                <w:sz w:val="24"/>
              </w:rPr>
              <w:t xml:space="preserve"> individually</w:t>
            </w:r>
            <w:r>
              <w:rPr>
                <w:rFonts w:eastAsiaTheme="minorHAnsi" w:cs="Arial"/>
                <w:color w:val="000000"/>
                <w:sz w:val="24"/>
              </w:rPr>
              <w:t xml:space="preserve">, where applicable to ensure that the </w:t>
            </w:r>
            <w:r w:rsidRPr="006343CB">
              <w:rPr>
                <w:rFonts w:eastAsiaTheme="minorHAnsi" w:cs="Arial"/>
                <w:color w:val="000000"/>
                <w:sz w:val="24"/>
              </w:rPr>
              <w:t xml:space="preserve">potential impacts of each </w:t>
            </w:r>
            <w:r w:rsidR="009B5881">
              <w:rPr>
                <w:rFonts w:eastAsiaTheme="minorHAnsi" w:cs="Arial"/>
                <w:color w:val="000000"/>
                <w:sz w:val="24"/>
              </w:rPr>
              <w:t>engagement activity</w:t>
            </w:r>
            <w:r w:rsidRPr="006343CB">
              <w:rPr>
                <w:rFonts w:eastAsiaTheme="minorHAnsi" w:cs="Arial"/>
                <w:color w:val="000000"/>
                <w:sz w:val="24"/>
              </w:rPr>
              <w:t xml:space="preserve"> are considered fully in that context</w:t>
            </w:r>
          </w:p>
          <w:p w:rsidR="007B744F" w:rsidRPr="003E0C55" w:rsidRDefault="007B744F" w:rsidP="007B744F">
            <w:pPr>
              <w:autoSpaceDE w:val="0"/>
              <w:autoSpaceDN w:val="0"/>
              <w:adjustRightInd w:val="0"/>
              <w:spacing w:after="0"/>
              <w:jc w:val="both"/>
              <w:rPr>
                <w:rFonts w:eastAsiaTheme="minorHAnsi" w:cs="Arial"/>
                <w:color w:val="000000"/>
                <w:sz w:val="24"/>
              </w:rPr>
            </w:pPr>
          </w:p>
        </w:tc>
        <w:tc>
          <w:tcPr>
            <w:tcW w:w="9242" w:type="dxa"/>
          </w:tcPr>
          <w:p w:rsidR="007B744F" w:rsidRPr="003E0C55" w:rsidRDefault="007B744F" w:rsidP="007B744F">
            <w:pPr>
              <w:autoSpaceDE w:val="0"/>
              <w:autoSpaceDN w:val="0"/>
              <w:adjustRightInd w:val="0"/>
              <w:spacing w:after="0"/>
              <w:jc w:val="both"/>
              <w:rPr>
                <w:rFonts w:eastAsiaTheme="minorHAnsi" w:cs="Arial"/>
                <w:color w:val="000000"/>
                <w:sz w:val="24"/>
              </w:rPr>
            </w:pPr>
          </w:p>
        </w:tc>
      </w:tr>
    </w:tbl>
    <w:p w:rsidR="00090CA8" w:rsidRDefault="00090CA8" w:rsidP="003E0C55">
      <w:pPr>
        <w:jc w:val="both"/>
        <w:rPr>
          <w:rFonts w:cs="Arial"/>
          <w:b/>
          <w:sz w:val="24"/>
        </w:rPr>
      </w:pPr>
    </w:p>
    <w:p w:rsidR="009B5881" w:rsidRDefault="009B5881"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D038BF" w:rsidRDefault="00D038BF" w:rsidP="003E0C55">
      <w:pPr>
        <w:jc w:val="both"/>
        <w:rPr>
          <w:rFonts w:cs="Arial"/>
          <w:b/>
          <w:sz w:val="24"/>
        </w:rPr>
      </w:pPr>
    </w:p>
    <w:p w:rsidR="009B5881" w:rsidRDefault="009B5881" w:rsidP="003E0C55">
      <w:pPr>
        <w:jc w:val="both"/>
        <w:rPr>
          <w:rFonts w:cs="Arial"/>
          <w:b/>
          <w:sz w:val="24"/>
        </w:rPr>
      </w:pPr>
    </w:p>
    <w:p w:rsidR="00090CA8" w:rsidRPr="003E0C55" w:rsidRDefault="00090CA8" w:rsidP="003E0C55">
      <w:pPr>
        <w:jc w:val="both"/>
        <w:rPr>
          <w:rFonts w:cs="Arial"/>
          <w:b/>
          <w:sz w:val="24"/>
        </w:rPr>
      </w:pPr>
    </w:p>
    <w:p w:rsidR="0087304B" w:rsidRPr="003E0C55" w:rsidRDefault="009B5881" w:rsidP="009B5881">
      <w:pPr>
        <w:pStyle w:val="ListParagraph"/>
        <w:numPr>
          <w:ilvl w:val="1"/>
          <w:numId w:val="18"/>
        </w:numPr>
        <w:jc w:val="both"/>
        <w:rPr>
          <w:rFonts w:ascii="Arial" w:hAnsi="Arial" w:cs="Arial"/>
          <w:b/>
          <w:sz w:val="24"/>
          <w:szCs w:val="24"/>
        </w:rPr>
      </w:pPr>
      <w:r>
        <w:rPr>
          <w:rFonts w:ascii="Arial" w:hAnsi="Arial" w:cs="Arial"/>
          <w:b/>
          <w:sz w:val="24"/>
          <w:szCs w:val="24"/>
        </w:rPr>
        <w:t xml:space="preserve"> </w:t>
      </w:r>
      <w:r w:rsidR="00CE6933" w:rsidRPr="003E0C55">
        <w:rPr>
          <w:rFonts w:ascii="Arial" w:hAnsi="Arial" w:cs="Arial"/>
          <w:b/>
          <w:sz w:val="24"/>
          <w:szCs w:val="24"/>
        </w:rPr>
        <w:t>M</w:t>
      </w:r>
      <w:r w:rsidR="0087304B" w:rsidRPr="003E0C55">
        <w:rPr>
          <w:rFonts w:ascii="Arial" w:hAnsi="Arial" w:cs="Arial"/>
          <w:b/>
          <w:sz w:val="24"/>
          <w:szCs w:val="24"/>
        </w:rPr>
        <w:t>aking Changes</w:t>
      </w:r>
    </w:p>
    <w:p w:rsidR="0087304B" w:rsidRDefault="0087304B" w:rsidP="003E0C55">
      <w:pPr>
        <w:ind w:left="700"/>
        <w:jc w:val="both"/>
        <w:rPr>
          <w:rFonts w:cs="Arial"/>
          <w:b/>
          <w:sz w:val="24"/>
        </w:rPr>
      </w:pPr>
      <w:r w:rsidRPr="003E0C55">
        <w:rPr>
          <w:rFonts w:cs="Arial"/>
          <w:b/>
          <w:sz w:val="24"/>
        </w:rPr>
        <w:t>Based on the equality issues you identified in 2.2 and 2.3, what changes did you make or do you intend to make in relation to the policy or decision in order to promote equality of opportunity?</w:t>
      </w:r>
    </w:p>
    <w:p w:rsidR="00123CE8" w:rsidRPr="00123CE8" w:rsidRDefault="00123CE8" w:rsidP="00123CE8">
      <w:pPr>
        <w:jc w:val="both"/>
        <w:rPr>
          <w:rFonts w:cs="Arial"/>
          <w:sz w:val="24"/>
        </w:rPr>
      </w:pPr>
      <w:r w:rsidRPr="00123CE8">
        <w:rPr>
          <w:rFonts w:cs="Arial"/>
          <w:sz w:val="24"/>
        </w:rPr>
        <w:t>The SBNI Engagement Strategy 2021-2023</w:t>
      </w:r>
      <w:r>
        <w:rPr>
          <w:rFonts w:cs="Arial"/>
          <w:sz w:val="24"/>
        </w:rPr>
        <w:t xml:space="preserve"> is a high level document which sets out how the SBNI, the Board, its statutory and non-statutory committees and sub-groups and those suppliers who it procures will directly engage with children and young people over the next two years.</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5050"/>
      </w:tblGrid>
      <w:tr w:rsidR="0087304B" w:rsidRPr="003E0C55" w:rsidTr="002C715A">
        <w:trPr>
          <w:trHeight w:val="722"/>
        </w:trPr>
        <w:tc>
          <w:tcPr>
            <w:tcW w:w="5050" w:type="dxa"/>
            <w:tcBorders>
              <w:bottom w:val="single" w:sz="4" w:space="0" w:color="auto"/>
            </w:tcBorders>
            <w:shd w:val="clear" w:color="auto" w:fill="B3B3B3"/>
          </w:tcPr>
          <w:p w:rsidR="0087304B" w:rsidRPr="003E0C55" w:rsidRDefault="0087304B" w:rsidP="003E0C55">
            <w:pPr>
              <w:spacing w:after="0"/>
              <w:jc w:val="both"/>
              <w:rPr>
                <w:rFonts w:cs="Arial"/>
                <w:b/>
                <w:bCs/>
                <w:i/>
                <w:iCs/>
                <w:sz w:val="24"/>
              </w:rPr>
            </w:pPr>
            <w:r w:rsidRPr="003E0C55">
              <w:rPr>
                <w:rFonts w:cs="Arial"/>
                <w:b/>
                <w:i/>
                <w:sz w:val="24"/>
              </w:rPr>
              <w:t>In developing the policy or decision what did you do or change to address the equality issues you identified?</w:t>
            </w:r>
          </w:p>
        </w:tc>
        <w:tc>
          <w:tcPr>
            <w:tcW w:w="5050" w:type="dxa"/>
            <w:tcBorders>
              <w:bottom w:val="single" w:sz="4" w:space="0" w:color="auto"/>
            </w:tcBorders>
            <w:shd w:val="clear" w:color="auto" w:fill="B3B3B3"/>
          </w:tcPr>
          <w:p w:rsidR="0087304B" w:rsidRPr="003E0C55" w:rsidRDefault="0087304B" w:rsidP="003E0C55">
            <w:pPr>
              <w:spacing w:after="0"/>
              <w:jc w:val="both"/>
              <w:rPr>
                <w:rFonts w:cs="Arial"/>
                <w:b/>
                <w:i/>
                <w:sz w:val="24"/>
              </w:rPr>
            </w:pPr>
            <w:r w:rsidRPr="003E0C55">
              <w:rPr>
                <w:rFonts w:cs="Arial"/>
                <w:b/>
                <w:i/>
                <w:sz w:val="24"/>
              </w:rPr>
              <w:t>What do you intend to do in future to address the equality issues you identified?</w:t>
            </w:r>
          </w:p>
        </w:tc>
      </w:tr>
      <w:tr w:rsidR="0087304B" w:rsidRPr="003E0C55" w:rsidTr="002C715A">
        <w:trPr>
          <w:trHeight w:val="570"/>
        </w:trPr>
        <w:tc>
          <w:tcPr>
            <w:tcW w:w="5050" w:type="dxa"/>
            <w:vMerge w:val="restart"/>
            <w:tcBorders>
              <w:top w:val="single" w:sz="4" w:space="0" w:color="auto"/>
            </w:tcBorders>
          </w:tcPr>
          <w:p w:rsidR="008014EB" w:rsidRDefault="00946D5D" w:rsidP="00946D5D">
            <w:pPr>
              <w:jc w:val="both"/>
              <w:rPr>
                <w:rFonts w:eastAsiaTheme="minorHAnsi" w:cs="Arial"/>
                <w:bCs/>
                <w:noProof/>
                <w:sz w:val="24"/>
              </w:rPr>
            </w:pPr>
            <w:r w:rsidRPr="00946D5D">
              <w:rPr>
                <w:rFonts w:eastAsiaTheme="minorHAnsi" w:cs="Arial"/>
                <w:bCs/>
                <w:noProof/>
                <w:sz w:val="24"/>
              </w:rPr>
              <w:t xml:space="preserve">Any requests for the </w:t>
            </w:r>
            <w:r>
              <w:rPr>
                <w:rFonts w:eastAsiaTheme="minorHAnsi" w:cs="Arial"/>
                <w:bCs/>
                <w:noProof/>
                <w:sz w:val="24"/>
              </w:rPr>
              <w:t>Engagement Strategy</w:t>
            </w:r>
            <w:r w:rsidRPr="00946D5D">
              <w:rPr>
                <w:rFonts w:eastAsiaTheme="minorHAnsi" w:cs="Arial"/>
                <w:bCs/>
                <w:noProof/>
                <w:sz w:val="24"/>
              </w:rPr>
              <w:t xml:space="preserve"> in alternative formats will be considered</w:t>
            </w:r>
            <w:r w:rsidR="00781578">
              <w:rPr>
                <w:rFonts w:eastAsiaTheme="minorHAnsi" w:cs="Arial"/>
                <w:bCs/>
                <w:noProof/>
                <w:sz w:val="24"/>
              </w:rPr>
              <w:t xml:space="preserve"> As per the PHA Accessible Formats Policy</w:t>
            </w:r>
          </w:p>
          <w:p w:rsidR="00B35A74" w:rsidRDefault="00B35A74" w:rsidP="00946D5D">
            <w:pPr>
              <w:jc w:val="both"/>
              <w:rPr>
                <w:rFonts w:eastAsiaTheme="minorHAnsi" w:cs="Arial"/>
                <w:bCs/>
                <w:noProof/>
                <w:sz w:val="24"/>
              </w:rPr>
            </w:pPr>
            <w:r>
              <w:rPr>
                <w:rFonts w:cs="Arial"/>
                <w:color w:val="000000"/>
                <w:sz w:val="24"/>
              </w:rPr>
              <w:t>As an integral part of this engagement strategy</w:t>
            </w:r>
            <w:r w:rsidRPr="00946D5D">
              <w:rPr>
                <w:rFonts w:cs="Arial"/>
                <w:color w:val="000000"/>
                <w:sz w:val="24"/>
              </w:rPr>
              <w:t xml:space="preserve">, each statutory and non-statutory committee within </w:t>
            </w:r>
            <w:r>
              <w:rPr>
                <w:rFonts w:cs="Arial"/>
                <w:color w:val="000000"/>
                <w:sz w:val="24"/>
              </w:rPr>
              <w:t xml:space="preserve">the </w:t>
            </w:r>
            <w:r w:rsidRPr="00946D5D">
              <w:rPr>
                <w:rFonts w:cs="Arial"/>
                <w:color w:val="000000"/>
                <w:sz w:val="24"/>
              </w:rPr>
              <w:t>SBNI</w:t>
            </w:r>
            <w:r>
              <w:rPr>
                <w:rFonts w:cs="Arial"/>
                <w:color w:val="000000"/>
                <w:sz w:val="24"/>
              </w:rPr>
              <w:t>, SBNI member a</w:t>
            </w:r>
            <w:r w:rsidRPr="00946D5D">
              <w:rPr>
                <w:rFonts w:cs="Arial"/>
                <w:color w:val="000000"/>
                <w:sz w:val="24"/>
              </w:rPr>
              <w:t xml:space="preserve"> </w:t>
            </w:r>
            <w:r>
              <w:rPr>
                <w:rFonts w:cs="Arial"/>
                <w:color w:val="000000"/>
                <w:sz w:val="24"/>
              </w:rPr>
              <w:t xml:space="preserve">will use this strategy and the associated mitigations, where appropriate, </w:t>
            </w:r>
            <w:r w:rsidRPr="00946D5D">
              <w:rPr>
                <w:rFonts w:cs="Arial"/>
                <w:color w:val="000000"/>
                <w:sz w:val="24"/>
              </w:rPr>
              <w:t xml:space="preserve"> </w:t>
            </w:r>
            <w:r>
              <w:rPr>
                <w:rFonts w:cs="Arial"/>
                <w:color w:val="000000"/>
                <w:sz w:val="24"/>
              </w:rPr>
              <w:t>in the execution of planned and ad hoc engagements wilt children and young people</w:t>
            </w:r>
          </w:p>
          <w:p w:rsidR="00B35A74" w:rsidRPr="00946D5D" w:rsidRDefault="00B35A74" w:rsidP="00B35A74">
            <w:pPr>
              <w:autoSpaceDE w:val="0"/>
              <w:autoSpaceDN w:val="0"/>
              <w:adjustRightInd w:val="0"/>
              <w:spacing w:after="0"/>
              <w:jc w:val="both"/>
              <w:rPr>
                <w:rFonts w:cs="Arial"/>
                <w:color w:val="000000"/>
                <w:sz w:val="24"/>
              </w:rPr>
            </w:pPr>
            <w:r>
              <w:rPr>
                <w:rFonts w:cs="Arial"/>
                <w:color w:val="000000"/>
                <w:sz w:val="24"/>
              </w:rPr>
              <w:t xml:space="preserve">The </w:t>
            </w:r>
            <w:r w:rsidRPr="00946D5D">
              <w:rPr>
                <w:rFonts w:cs="Arial"/>
                <w:color w:val="000000"/>
                <w:sz w:val="24"/>
              </w:rPr>
              <w:t xml:space="preserve">range of </w:t>
            </w:r>
            <w:r>
              <w:rPr>
                <w:rFonts w:cs="Arial"/>
                <w:color w:val="000000"/>
                <w:sz w:val="24"/>
              </w:rPr>
              <w:t>engagements to be undertaken</w:t>
            </w:r>
            <w:r w:rsidRPr="00946D5D">
              <w:rPr>
                <w:rFonts w:cs="Arial"/>
                <w:color w:val="000000"/>
                <w:sz w:val="24"/>
              </w:rPr>
              <w:t xml:space="preserve"> </w:t>
            </w:r>
            <w:r>
              <w:rPr>
                <w:rFonts w:cs="Arial"/>
                <w:color w:val="000000"/>
                <w:sz w:val="24"/>
              </w:rPr>
              <w:t>as part of this</w:t>
            </w:r>
            <w:r w:rsidRPr="00946D5D">
              <w:rPr>
                <w:rFonts w:cs="Arial"/>
                <w:color w:val="000000"/>
                <w:sz w:val="24"/>
              </w:rPr>
              <w:t xml:space="preserve"> overarching </w:t>
            </w:r>
            <w:r>
              <w:rPr>
                <w:rFonts w:cs="Arial"/>
                <w:color w:val="000000"/>
                <w:sz w:val="24"/>
              </w:rPr>
              <w:t>strategy</w:t>
            </w:r>
            <w:r w:rsidRPr="00946D5D">
              <w:rPr>
                <w:rFonts w:cs="Arial"/>
                <w:color w:val="000000"/>
                <w:sz w:val="24"/>
              </w:rPr>
              <w:t xml:space="preserve"> will be Equality Screened and where appropriate, Equality Impact Assessed.</w:t>
            </w:r>
          </w:p>
          <w:p w:rsidR="00B35A74" w:rsidRDefault="00B35A74" w:rsidP="00946D5D">
            <w:pPr>
              <w:jc w:val="both"/>
              <w:rPr>
                <w:rFonts w:eastAsiaTheme="minorHAnsi" w:cs="Arial"/>
                <w:bCs/>
                <w:noProof/>
                <w:sz w:val="24"/>
              </w:rPr>
            </w:pPr>
          </w:p>
          <w:p w:rsidR="00B35A74" w:rsidRDefault="00B35A74" w:rsidP="00946D5D">
            <w:pPr>
              <w:jc w:val="both"/>
              <w:rPr>
                <w:rFonts w:eastAsiaTheme="minorHAnsi" w:cs="Arial"/>
                <w:bCs/>
                <w:noProof/>
                <w:sz w:val="24"/>
              </w:rPr>
            </w:pPr>
            <w:r>
              <w:rPr>
                <w:rFonts w:eastAsiaTheme="minorHAnsi" w:cs="Arial"/>
                <w:bCs/>
                <w:noProof/>
                <w:sz w:val="24"/>
              </w:rPr>
              <w:t>The following general mitigations</w:t>
            </w:r>
            <w:r w:rsidR="001F363D">
              <w:rPr>
                <w:rFonts w:eastAsiaTheme="minorHAnsi" w:cs="Arial"/>
                <w:bCs/>
                <w:noProof/>
                <w:sz w:val="24"/>
              </w:rPr>
              <w:t xml:space="preserve"> are relevat in all engagements.</w:t>
            </w:r>
          </w:p>
          <w:p w:rsidR="00B35A74" w:rsidRDefault="00B35A74" w:rsidP="00946D5D">
            <w:pPr>
              <w:jc w:val="both"/>
              <w:rPr>
                <w:rFonts w:eastAsiaTheme="minorHAnsi" w:cs="Arial"/>
                <w:b/>
                <w:bCs/>
                <w:noProof/>
                <w:sz w:val="24"/>
                <w:u w:val="single"/>
              </w:rPr>
            </w:pPr>
            <w:r w:rsidRPr="00B35A74">
              <w:rPr>
                <w:rFonts w:eastAsiaTheme="minorHAnsi" w:cs="Arial"/>
                <w:b/>
                <w:bCs/>
                <w:noProof/>
                <w:sz w:val="24"/>
                <w:u w:val="single"/>
              </w:rPr>
              <w:t>Gender:</w:t>
            </w:r>
          </w:p>
          <w:p w:rsidR="00140D6A" w:rsidRPr="00140D6A" w:rsidRDefault="00140D6A" w:rsidP="00946D5D">
            <w:pPr>
              <w:jc w:val="both"/>
              <w:rPr>
                <w:rFonts w:eastAsiaTheme="minorHAnsi" w:cs="Arial"/>
                <w:bCs/>
                <w:noProof/>
                <w:sz w:val="24"/>
              </w:rPr>
            </w:pPr>
            <w:r w:rsidRPr="00140D6A">
              <w:rPr>
                <w:rFonts w:eastAsiaTheme="minorHAnsi" w:cs="Arial"/>
                <w:bCs/>
                <w:noProof/>
                <w:sz w:val="24"/>
              </w:rPr>
              <w:t>Issues of gender and the differences of experiences between boys and girls may need to be factored into any engagements.</w:t>
            </w:r>
          </w:p>
          <w:p w:rsidR="00B77A85" w:rsidRDefault="00B77A85" w:rsidP="00946D5D">
            <w:pPr>
              <w:jc w:val="both"/>
              <w:rPr>
                <w:rFonts w:eastAsiaTheme="minorHAnsi" w:cs="Arial"/>
                <w:b/>
                <w:bCs/>
                <w:noProof/>
                <w:sz w:val="24"/>
                <w:u w:val="single"/>
              </w:rPr>
            </w:pPr>
          </w:p>
          <w:p w:rsidR="00B35A74" w:rsidRPr="00B35A74" w:rsidRDefault="00B35A74" w:rsidP="00946D5D">
            <w:pPr>
              <w:jc w:val="both"/>
              <w:rPr>
                <w:rFonts w:eastAsiaTheme="minorHAnsi" w:cs="Arial"/>
                <w:b/>
                <w:bCs/>
                <w:noProof/>
                <w:sz w:val="24"/>
                <w:u w:val="single"/>
              </w:rPr>
            </w:pPr>
            <w:r w:rsidRPr="00B35A74">
              <w:rPr>
                <w:rFonts w:eastAsiaTheme="minorHAnsi" w:cs="Arial"/>
                <w:b/>
                <w:bCs/>
                <w:noProof/>
                <w:sz w:val="24"/>
                <w:u w:val="single"/>
              </w:rPr>
              <w:t>Age:</w:t>
            </w:r>
          </w:p>
          <w:p w:rsidR="00B35A74" w:rsidRDefault="00140D6A" w:rsidP="00946D5D">
            <w:pPr>
              <w:jc w:val="both"/>
              <w:rPr>
                <w:rFonts w:eastAsiaTheme="minorHAnsi" w:cs="Arial"/>
                <w:bCs/>
                <w:noProof/>
                <w:sz w:val="24"/>
              </w:rPr>
            </w:pPr>
            <w:r>
              <w:rPr>
                <w:rFonts w:eastAsiaTheme="minorHAnsi" w:cs="Arial"/>
                <w:bCs/>
                <w:noProof/>
                <w:sz w:val="24"/>
              </w:rPr>
              <w:t>There are d</w:t>
            </w:r>
            <w:r w:rsidRPr="00140D6A">
              <w:rPr>
                <w:rFonts w:eastAsiaTheme="minorHAnsi" w:cs="Arial"/>
                <w:bCs/>
                <w:noProof/>
                <w:sz w:val="24"/>
              </w:rPr>
              <w:t xml:space="preserve">ifferences of issues that </w:t>
            </w:r>
            <w:r>
              <w:rPr>
                <w:rFonts w:eastAsiaTheme="minorHAnsi" w:cs="Arial"/>
                <w:bCs/>
                <w:noProof/>
                <w:sz w:val="24"/>
              </w:rPr>
              <w:t>are</w:t>
            </w:r>
            <w:r w:rsidRPr="00140D6A">
              <w:rPr>
                <w:rFonts w:eastAsiaTheme="minorHAnsi" w:cs="Arial"/>
                <w:bCs/>
                <w:noProof/>
                <w:sz w:val="24"/>
              </w:rPr>
              <w:t xml:space="preserve"> pertinent to different age groups</w:t>
            </w:r>
            <w:r>
              <w:rPr>
                <w:rFonts w:eastAsiaTheme="minorHAnsi" w:cs="Arial"/>
                <w:bCs/>
                <w:noProof/>
                <w:sz w:val="24"/>
              </w:rPr>
              <w:t xml:space="preserve"> 4-11 &amp; 12-18. </w:t>
            </w:r>
          </w:p>
          <w:p w:rsidR="00B77A85" w:rsidRDefault="00B77A85" w:rsidP="00946D5D">
            <w:pPr>
              <w:jc w:val="both"/>
              <w:rPr>
                <w:rFonts w:eastAsiaTheme="minorHAnsi" w:cs="Arial"/>
                <w:b/>
                <w:bCs/>
                <w:noProof/>
                <w:sz w:val="24"/>
                <w:u w:val="single"/>
              </w:rPr>
            </w:pPr>
          </w:p>
          <w:p w:rsidR="00B35A74" w:rsidRPr="00B35A74" w:rsidRDefault="00B35A74" w:rsidP="00946D5D">
            <w:pPr>
              <w:jc w:val="both"/>
              <w:rPr>
                <w:rFonts w:eastAsiaTheme="minorHAnsi" w:cs="Arial"/>
                <w:b/>
                <w:bCs/>
                <w:noProof/>
                <w:sz w:val="24"/>
                <w:u w:val="single"/>
              </w:rPr>
            </w:pPr>
            <w:r w:rsidRPr="00B35A74">
              <w:rPr>
                <w:rFonts w:eastAsiaTheme="minorHAnsi" w:cs="Arial"/>
                <w:b/>
                <w:bCs/>
                <w:noProof/>
                <w:sz w:val="24"/>
                <w:u w:val="single"/>
              </w:rPr>
              <w:t>Dependent Status:</w:t>
            </w:r>
          </w:p>
          <w:p w:rsidR="00140D6A" w:rsidRDefault="00140D6A" w:rsidP="00946D5D">
            <w:pPr>
              <w:jc w:val="both"/>
              <w:rPr>
                <w:rFonts w:eastAsiaTheme="minorHAnsi" w:cs="Arial"/>
                <w:bCs/>
                <w:noProof/>
                <w:sz w:val="24"/>
              </w:rPr>
            </w:pPr>
            <w:r w:rsidRPr="00140D6A">
              <w:rPr>
                <w:rFonts w:eastAsiaTheme="minorHAnsi" w:cs="Arial"/>
                <w:bCs/>
                <w:noProof/>
                <w:sz w:val="24"/>
              </w:rPr>
              <w:t xml:space="preserve">The needs and experiences of children and young people who are carers may need to be factored into any engagements, where appropriate.  </w:t>
            </w:r>
          </w:p>
          <w:p w:rsidR="00304739" w:rsidRDefault="00304739" w:rsidP="00946D5D">
            <w:pPr>
              <w:jc w:val="both"/>
              <w:rPr>
                <w:rFonts w:eastAsiaTheme="minorHAnsi" w:cs="Arial"/>
                <w:bCs/>
                <w:noProof/>
                <w:sz w:val="24"/>
              </w:rPr>
            </w:pPr>
            <w:r w:rsidRPr="00B35A74">
              <w:rPr>
                <w:rFonts w:eastAsiaTheme="minorHAnsi" w:cs="Arial"/>
                <w:b/>
                <w:bCs/>
                <w:noProof/>
                <w:sz w:val="24"/>
                <w:u w:val="single"/>
              </w:rPr>
              <w:t>Disability</w:t>
            </w:r>
            <w:r w:rsidR="00B35A74">
              <w:rPr>
                <w:rFonts w:eastAsiaTheme="minorHAnsi" w:cs="Arial"/>
                <w:bCs/>
                <w:noProof/>
                <w:sz w:val="24"/>
              </w:rPr>
              <w:t>:</w:t>
            </w:r>
          </w:p>
          <w:p w:rsidR="00140D6A" w:rsidRDefault="00140D6A" w:rsidP="00304739">
            <w:pPr>
              <w:jc w:val="both"/>
              <w:rPr>
                <w:rFonts w:eastAsiaTheme="minorHAnsi" w:cs="Arial"/>
                <w:bCs/>
                <w:noProof/>
                <w:sz w:val="24"/>
              </w:rPr>
            </w:pPr>
            <w:r>
              <w:rPr>
                <w:rFonts w:eastAsiaTheme="minorHAnsi" w:cs="Arial"/>
                <w:bCs/>
                <w:noProof/>
                <w:sz w:val="24"/>
              </w:rPr>
              <w:t>G</w:t>
            </w:r>
            <w:r w:rsidRPr="00140D6A">
              <w:rPr>
                <w:rFonts w:eastAsiaTheme="minorHAnsi" w:cs="Arial"/>
                <w:bCs/>
                <w:noProof/>
                <w:sz w:val="24"/>
              </w:rPr>
              <w:t>iven that disabled children and young people are particularly vulnerable to all forms of abuse, all engagements involving children and young people with a disability must include them.</w:t>
            </w:r>
          </w:p>
          <w:p w:rsidR="00B35A74" w:rsidRPr="00B35A74" w:rsidRDefault="00B35A74" w:rsidP="00304739">
            <w:pPr>
              <w:jc w:val="both"/>
              <w:rPr>
                <w:rFonts w:eastAsiaTheme="minorHAnsi" w:cs="Arial"/>
                <w:b/>
                <w:bCs/>
                <w:noProof/>
                <w:sz w:val="24"/>
                <w:u w:val="single"/>
              </w:rPr>
            </w:pPr>
            <w:r w:rsidRPr="00B35A74">
              <w:rPr>
                <w:rFonts w:eastAsiaTheme="minorHAnsi" w:cs="Arial"/>
                <w:b/>
                <w:bCs/>
                <w:noProof/>
                <w:sz w:val="24"/>
                <w:u w:val="single"/>
              </w:rPr>
              <w:t>Ethnicity:</w:t>
            </w:r>
          </w:p>
          <w:p w:rsidR="00B35A74" w:rsidRDefault="00B77A85" w:rsidP="00304739">
            <w:pPr>
              <w:jc w:val="both"/>
              <w:rPr>
                <w:rFonts w:eastAsiaTheme="minorHAnsi" w:cs="Arial"/>
                <w:bCs/>
                <w:noProof/>
                <w:sz w:val="24"/>
              </w:rPr>
            </w:pPr>
            <w:r w:rsidRPr="00B77A85">
              <w:rPr>
                <w:rFonts w:eastAsiaTheme="minorHAnsi" w:cs="Arial"/>
                <w:bCs/>
                <w:noProof/>
                <w:sz w:val="24"/>
              </w:rPr>
              <w:t>Issues of ethnicity and the differences of experiences between children and young people who come from different ethnic backgrounds who live in Northern Ireland need to be factored into engagements</w:t>
            </w:r>
          </w:p>
          <w:p w:rsidR="00B77A85" w:rsidRDefault="00B77A85" w:rsidP="00304739">
            <w:pPr>
              <w:jc w:val="both"/>
              <w:rPr>
                <w:rFonts w:eastAsiaTheme="minorHAnsi" w:cs="Arial"/>
                <w:b/>
                <w:bCs/>
                <w:noProof/>
                <w:sz w:val="24"/>
                <w:u w:val="single"/>
              </w:rPr>
            </w:pPr>
          </w:p>
          <w:p w:rsidR="00B35A74" w:rsidRDefault="00B35A74" w:rsidP="00304739">
            <w:pPr>
              <w:jc w:val="both"/>
              <w:rPr>
                <w:rFonts w:eastAsiaTheme="minorHAnsi" w:cs="Arial"/>
                <w:bCs/>
                <w:noProof/>
                <w:sz w:val="24"/>
              </w:rPr>
            </w:pPr>
            <w:r w:rsidRPr="00B35A74">
              <w:rPr>
                <w:rFonts w:eastAsiaTheme="minorHAnsi" w:cs="Arial"/>
                <w:b/>
                <w:bCs/>
                <w:noProof/>
                <w:sz w:val="24"/>
                <w:u w:val="single"/>
              </w:rPr>
              <w:t>Sexual Orientation</w:t>
            </w:r>
            <w:r>
              <w:rPr>
                <w:rFonts w:eastAsiaTheme="minorHAnsi" w:cs="Arial"/>
                <w:bCs/>
                <w:noProof/>
                <w:sz w:val="24"/>
              </w:rPr>
              <w:t>:</w:t>
            </w:r>
          </w:p>
          <w:p w:rsidR="00B35A74" w:rsidRDefault="00B77A85" w:rsidP="00304739">
            <w:pPr>
              <w:jc w:val="both"/>
              <w:rPr>
                <w:rFonts w:eastAsiaTheme="minorHAnsi" w:cs="Arial"/>
                <w:bCs/>
                <w:noProof/>
                <w:sz w:val="24"/>
              </w:rPr>
            </w:pPr>
            <w:r w:rsidRPr="00B77A85">
              <w:rPr>
                <w:rFonts w:eastAsiaTheme="minorHAnsi" w:cs="Arial"/>
                <w:bCs/>
                <w:noProof/>
                <w:sz w:val="24"/>
              </w:rPr>
              <w:t>Issues of sexual orientation and the differences of experiences between children and young people who have different sexual orientations may need to be factored into engagements</w:t>
            </w:r>
          </w:p>
          <w:p w:rsidR="00B35A74" w:rsidRPr="003E0C55" w:rsidRDefault="00B35A74" w:rsidP="00304739">
            <w:pPr>
              <w:jc w:val="both"/>
              <w:rPr>
                <w:rFonts w:eastAsiaTheme="minorHAnsi" w:cs="Arial"/>
                <w:bCs/>
                <w:noProof/>
                <w:sz w:val="24"/>
              </w:rPr>
            </w:pPr>
          </w:p>
        </w:tc>
        <w:tc>
          <w:tcPr>
            <w:tcW w:w="5050" w:type="dxa"/>
            <w:vMerge w:val="restart"/>
            <w:tcBorders>
              <w:top w:val="single" w:sz="4" w:space="0" w:color="auto"/>
            </w:tcBorders>
          </w:tcPr>
          <w:p w:rsidR="00946D5D" w:rsidRDefault="00946D5D" w:rsidP="00946D5D">
            <w:pPr>
              <w:autoSpaceDE w:val="0"/>
              <w:autoSpaceDN w:val="0"/>
              <w:adjustRightInd w:val="0"/>
              <w:spacing w:after="0"/>
              <w:jc w:val="both"/>
              <w:rPr>
                <w:rFonts w:cs="Arial"/>
                <w:color w:val="000000"/>
                <w:sz w:val="24"/>
              </w:rPr>
            </w:pPr>
          </w:p>
          <w:p w:rsidR="00946D5D" w:rsidRDefault="00946D5D" w:rsidP="00946D5D">
            <w:pPr>
              <w:autoSpaceDE w:val="0"/>
              <w:autoSpaceDN w:val="0"/>
              <w:adjustRightInd w:val="0"/>
              <w:spacing w:after="0"/>
              <w:jc w:val="both"/>
              <w:rPr>
                <w:rFonts w:cs="Arial"/>
                <w:color w:val="000000"/>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p>
          <w:p w:rsidR="00B77A85" w:rsidRDefault="00B77A85" w:rsidP="00140D6A">
            <w:pPr>
              <w:jc w:val="both"/>
              <w:rPr>
                <w:rFonts w:eastAsiaTheme="minorHAnsi" w:cs="Arial"/>
                <w:bCs/>
                <w:noProof/>
                <w:sz w:val="24"/>
              </w:rPr>
            </w:pPr>
          </w:p>
          <w:p w:rsidR="00140D6A" w:rsidRDefault="00140D6A" w:rsidP="00140D6A">
            <w:pPr>
              <w:jc w:val="both"/>
              <w:rPr>
                <w:rFonts w:eastAsiaTheme="minorHAnsi" w:cs="Arial"/>
                <w:bCs/>
                <w:noProof/>
                <w:sz w:val="24"/>
              </w:rPr>
            </w:pPr>
            <w:r>
              <w:rPr>
                <w:rFonts w:eastAsiaTheme="minorHAnsi" w:cs="Arial"/>
                <w:bCs/>
                <w:noProof/>
                <w:sz w:val="24"/>
              </w:rPr>
              <w:t>Depending on the situation it may be appropriate to ensure that the person/s carrying out the engagement is the same gender as a gender-specific engagement group</w:t>
            </w:r>
          </w:p>
          <w:p w:rsidR="00B77A85" w:rsidRDefault="00B77A85" w:rsidP="00B35A74">
            <w:pPr>
              <w:autoSpaceDE w:val="0"/>
              <w:autoSpaceDN w:val="0"/>
              <w:adjustRightInd w:val="0"/>
              <w:spacing w:after="0"/>
              <w:jc w:val="both"/>
              <w:rPr>
                <w:rFonts w:eastAsiaTheme="minorHAnsi" w:cs="Arial"/>
                <w:bCs/>
                <w:noProof/>
                <w:sz w:val="24"/>
              </w:rPr>
            </w:pPr>
          </w:p>
          <w:p w:rsidR="00E2070C" w:rsidRDefault="00140D6A" w:rsidP="00B35A74">
            <w:pPr>
              <w:autoSpaceDE w:val="0"/>
              <w:autoSpaceDN w:val="0"/>
              <w:adjustRightInd w:val="0"/>
              <w:spacing w:after="0"/>
              <w:jc w:val="both"/>
              <w:rPr>
                <w:rFonts w:eastAsiaTheme="minorHAnsi" w:cs="Arial"/>
                <w:bCs/>
                <w:noProof/>
                <w:sz w:val="24"/>
              </w:rPr>
            </w:pPr>
            <w:r>
              <w:rPr>
                <w:rFonts w:eastAsiaTheme="minorHAnsi" w:cs="Arial"/>
                <w:bCs/>
                <w:noProof/>
                <w:sz w:val="24"/>
              </w:rPr>
              <w:t>A</w:t>
            </w:r>
            <w:r w:rsidRPr="00140D6A">
              <w:rPr>
                <w:rFonts w:eastAsiaTheme="minorHAnsi" w:cs="Arial"/>
                <w:bCs/>
                <w:noProof/>
                <w:sz w:val="24"/>
              </w:rPr>
              <w:t xml:space="preserve">s such different mechanisms of engagement </w:t>
            </w:r>
            <w:r>
              <w:rPr>
                <w:rFonts w:eastAsiaTheme="minorHAnsi" w:cs="Arial"/>
                <w:bCs/>
                <w:noProof/>
                <w:sz w:val="24"/>
              </w:rPr>
              <w:t>will need to</w:t>
            </w:r>
            <w:r w:rsidRPr="00140D6A">
              <w:rPr>
                <w:rFonts w:eastAsiaTheme="minorHAnsi" w:cs="Arial"/>
                <w:bCs/>
                <w:noProof/>
                <w:sz w:val="24"/>
              </w:rPr>
              <w:t xml:space="preserve"> used to elicit</w:t>
            </w:r>
            <w:r>
              <w:rPr>
                <w:rFonts w:eastAsiaTheme="minorHAnsi" w:cs="Arial"/>
                <w:bCs/>
                <w:noProof/>
                <w:sz w:val="24"/>
              </w:rPr>
              <w:t xml:space="preserve"> views f</w:t>
            </w:r>
            <w:r w:rsidRPr="00140D6A">
              <w:rPr>
                <w:rFonts w:eastAsiaTheme="minorHAnsi" w:cs="Arial"/>
                <w:bCs/>
                <w:noProof/>
                <w:sz w:val="24"/>
              </w:rPr>
              <w:t>r</w:t>
            </w:r>
            <w:r>
              <w:rPr>
                <w:rFonts w:eastAsiaTheme="minorHAnsi" w:cs="Arial"/>
                <w:bCs/>
                <w:noProof/>
                <w:sz w:val="24"/>
              </w:rPr>
              <w:t>o</w:t>
            </w:r>
            <w:r w:rsidRPr="00140D6A">
              <w:rPr>
                <w:rFonts w:eastAsiaTheme="minorHAnsi" w:cs="Arial"/>
                <w:bCs/>
                <w:noProof/>
                <w:sz w:val="24"/>
              </w:rPr>
              <w:t>m these group</w:t>
            </w:r>
            <w:r>
              <w:rPr>
                <w:rFonts w:eastAsiaTheme="minorHAnsi" w:cs="Arial"/>
                <w:bCs/>
                <w:noProof/>
                <w:sz w:val="24"/>
              </w:rPr>
              <w:t>s</w:t>
            </w:r>
            <w:r w:rsidRPr="00140D6A">
              <w:rPr>
                <w:rFonts w:eastAsiaTheme="minorHAnsi" w:cs="Arial"/>
                <w:bCs/>
                <w:noProof/>
                <w:sz w:val="24"/>
              </w:rPr>
              <w:t>.</w:t>
            </w:r>
          </w:p>
          <w:p w:rsidR="00140D6A" w:rsidRDefault="00140D6A" w:rsidP="00B35A74">
            <w:pPr>
              <w:autoSpaceDE w:val="0"/>
              <w:autoSpaceDN w:val="0"/>
              <w:adjustRightInd w:val="0"/>
              <w:spacing w:after="0"/>
              <w:jc w:val="both"/>
              <w:rPr>
                <w:rFonts w:eastAsiaTheme="minorHAnsi" w:cs="Arial"/>
                <w:bCs/>
                <w:noProof/>
                <w:sz w:val="24"/>
              </w:rPr>
            </w:pPr>
          </w:p>
          <w:p w:rsidR="00140D6A" w:rsidRDefault="00140D6A" w:rsidP="00B35A74">
            <w:pPr>
              <w:autoSpaceDE w:val="0"/>
              <w:autoSpaceDN w:val="0"/>
              <w:adjustRightInd w:val="0"/>
              <w:spacing w:after="0"/>
              <w:jc w:val="both"/>
              <w:rPr>
                <w:rFonts w:eastAsiaTheme="minorHAnsi" w:cs="Arial"/>
                <w:bCs/>
                <w:noProof/>
                <w:sz w:val="24"/>
              </w:rPr>
            </w:pPr>
          </w:p>
          <w:p w:rsidR="00140D6A" w:rsidRDefault="00140D6A" w:rsidP="00B35A74">
            <w:pPr>
              <w:autoSpaceDE w:val="0"/>
              <w:autoSpaceDN w:val="0"/>
              <w:adjustRightInd w:val="0"/>
              <w:spacing w:after="0"/>
              <w:jc w:val="both"/>
              <w:rPr>
                <w:rFonts w:eastAsiaTheme="minorHAnsi" w:cs="Arial"/>
                <w:bCs/>
                <w:noProof/>
                <w:sz w:val="24"/>
              </w:rPr>
            </w:pPr>
          </w:p>
          <w:p w:rsidR="00B77A85" w:rsidRDefault="00B77A85" w:rsidP="00140D6A">
            <w:pPr>
              <w:autoSpaceDE w:val="0"/>
              <w:autoSpaceDN w:val="0"/>
              <w:adjustRightInd w:val="0"/>
              <w:spacing w:after="0"/>
              <w:jc w:val="both"/>
              <w:rPr>
                <w:rFonts w:eastAsiaTheme="minorHAnsi" w:cs="Arial"/>
                <w:bCs/>
                <w:noProof/>
                <w:sz w:val="24"/>
              </w:rPr>
            </w:pPr>
          </w:p>
          <w:p w:rsidR="00B77A85" w:rsidRDefault="00B77A85" w:rsidP="00140D6A">
            <w:pPr>
              <w:autoSpaceDE w:val="0"/>
              <w:autoSpaceDN w:val="0"/>
              <w:adjustRightInd w:val="0"/>
              <w:spacing w:after="0"/>
              <w:jc w:val="both"/>
              <w:rPr>
                <w:rFonts w:eastAsiaTheme="minorHAnsi" w:cs="Arial"/>
                <w:bCs/>
                <w:noProof/>
                <w:sz w:val="24"/>
              </w:rPr>
            </w:pPr>
          </w:p>
          <w:p w:rsidR="00140D6A" w:rsidRPr="00140D6A" w:rsidRDefault="00140D6A" w:rsidP="00140D6A">
            <w:pPr>
              <w:autoSpaceDE w:val="0"/>
              <w:autoSpaceDN w:val="0"/>
              <w:adjustRightInd w:val="0"/>
              <w:spacing w:after="0"/>
              <w:jc w:val="both"/>
              <w:rPr>
                <w:rFonts w:eastAsiaTheme="minorHAnsi" w:cs="Arial"/>
                <w:bCs/>
                <w:noProof/>
                <w:sz w:val="24"/>
              </w:rPr>
            </w:pPr>
            <w:r>
              <w:rPr>
                <w:rFonts w:eastAsiaTheme="minorHAnsi" w:cs="Arial"/>
                <w:bCs/>
                <w:noProof/>
                <w:sz w:val="24"/>
              </w:rPr>
              <w:t xml:space="preserve">Consequently, </w:t>
            </w:r>
            <w:r w:rsidRPr="00140D6A">
              <w:rPr>
                <w:rFonts w:eastAsiaTheme="minorHAnsi" w:cs="Arial"/>
                <w:bCs/>
                <w:noProof/>
                <w:sz w:val="24"/>
              </w:rPr>
              <w:t>understanding the context for children and young people in terms of their caring responsibilities must feature as an element of engagement, where appropriate.</w:t>
            </w:r>
          </w:p>
          <w:p w:rsidR="00140D6A" w:rsidRDefault="00140D6A" w:rsidP="00140D6A">
            <w:pPr>
              <w:jc w:val="both"/>
              <w:rPr>
                <w:rFonts w:eastAsiaTheme="minorHAnsi" w:cs="Arial"/>
                <w:bCs/>
                <w:noProof/>
                <w:sz w:val="24"/>
              </w:rPr>
            </w:pPr>
          </w:p>
          <w:p w:rsidR="00140D6A" w:rsidRDefault="00140D6A" w:rsidP="00140D6A">
            <w:pPr>
              <w:jc w:val="both"/>
              <w:rPr>
                <w:rFonts w:eastAsiaTheme="minorHAnsi" w:cs="Arial"/>
                <w:bCs/>
                <w:noProof/>
                <w:sz w:val="24"/>
              </w:rPr>
            </w:pPr>
            <w:r>
              <w:rPr>
                <w:rFonts w:eastAsiaTheme="minorHAnsi" w:cs="Arial"/>
                <w:bCs/>
                <w:noProof/>
                <w:sz w:val="24"/>
              </w:rPr>
              <w:t>The Engagement Strategy includes a commitment to take meet the communication needs of children and young people with disabilities, for example by arranging a sign language interpreter for a child who is deaf.</w:t>
            </w:r>
          </w:p>
          <w:p w:rsidR="00B77A85" w:rsidRDefault="00B77A85" w:rsidP="00B35A74">
            <w:pPr>
              <w:autoSpaceDE w:val="0"/>
              <w:autoSpaceDN w:val="0"/>
              <w:adjustRightInd w:val="0"/>
              <w:spacing w:after="0"/>
              <w:jc w:val="both"/>
              <w:rPr>
                <w:rFonts w:cs="Arial"/>
                <w:color w:val="000000"/>
                <w:sz w:val="24"/>
              </w:rPr>
            </w:pPr>
          </w:p>
          <w:p w:rsidR="00B77A85" w:rsidRDefault="00B77A85" w:rsidP="00B35A74">
            <w:pPr>
              <w:autoSpaceDE w:val="0"/>
              <w:autoSpaceDN w:val="0"/>
              <w:adjustRightInd w:val="0"/>
              <w:spacing w:after="0"/>
              <w:jc w:val="both"/>
              <w:rPr>
                <w:rFonts w:cs="Arial"/>
                <w:color w:val="000000"/>
                <w:sz w:val="24"/>
              </w:rPr>
            </w:pPr>
          </w:p>
          <w:p w:rsidR="00140D6A" w:rsidRDefault="00B77A85" w:rsidP="00B35A74">
            <w:pPr>
              <w:autoSpaceDE w:val="0"/>
              <w:autoSpaceDN w:val="0"/>
              <w:adjustRightInd w:val="0"/>
              <w:spacing w:after="0"/>
              <w:jc w:val="both"/>
              <w:rPr>
                <w:rFonts w:cs="Arial"/>
                <w:color w:val="000000"/>
                <w:sz w:val="24"/>
              </w:rPr>
            </w:pPr>
            <w:r>
              <w:rPr>
                <w:rFonts w:cs="Arial"/>
                <w:color w:val="000000"/>
                <w:sz w:val="24"/>
              </w:rPr>
              <w:t>The Engagement S</w:t>
            </w:r>
            <w:r w:rsidRPr="00B77A85">
              <w:rPr>
                <w:rFonts w:cs="Arial"/>
                <w:color w:val="000000"/>
                <w:sz w:val="24"/>
              </w:rPr>
              <w:t>trategy commits SBNI member agencies and where appropriate other organisations providing a service to the SBNI, to take into account the use of interpreters where a child or young person does not speak English.</w:t>
            </w:r>
          </w:p>
          <w:p w:rsidR="00B77A85" w:rsidRDefault="00B77A85" w:rsidP="00B35A74">
            <w:pPr>
              <w:autoSpaceDE w:val="0"/>
              <w:autoSpaceDN w:val="0"/>
              <w:adjustRightInd w:val="0"/>
              <w:spacing w:after="0"/>
              <w:jc w:val="both"/>
              <w:rPr>
                <w:rFonts w:cs="Arial"/>
                <w:color w:val="000000"/>
                <w:sz w:val="24"/>
              </w:rPr>
            </w:pPr>
          </w:p>
          <w:p w:rsidR="00B77A85" w:rsidRDefault="00B77A85" w:rsidP="00B35A74">
            <w:pPr>
              <w:autoSpaceDE w:val="0"/>
              <w:autoSpaceDN w:val="0"/>
              <w:adjustRightInd w:val="0"/>
              <w:spacing w:after="0"/>
              <w:jc w:val="both"/>
              <w:rPr>
                <w:rFonts w:cs="Arial"/>
                <w:color w:val="000000"/>
                <w:sz w:val="24"/>
              </w:rPr>
            </w:pPr>
          </w:p>
          <w:p w:rsidR="00B77A85" w:rsidRDefault="00B77A85" w:rsidP="00B35A74">
            <w:pPr>
              <w:autoSpaceDE w:val="0"/>
              <w:autoSpaceDN w:val="0"/>
              <w:adjustRightInd w:val="0"/>
              <w:spacing w:after="0"/>
              <w:jc w:val="both"/>
              <w:rPr>
                <w:rFonts w:cs="Arial"/>
                <w:color w:val="000000"/>
                <w:sz w:val="24"/>
              </w:rPr>
            </w:pPr>
          </w:p>
          <w:p w:rsidR="00B77A85" w:rsidRDefault="00B77A85" w:rsidP="00B35A74">
            <w:pPr>
              <w:autoSpaceDE w:val="0"/>
              <w:autoSpaceDN w:val="0"/>
              <w:adjustRightInd w:val="0"/>
              <w:spacing w:after="0"/>
              <w:jc w:val="both"/>
              <w:rPr>
                <w:rFonts w:cs="Arial"/>
                <w:color w:val="000000"/>
                <w:sz w:val="24"/>
              </w:rPr>
            </w:pPr>
          </w:p>
          <w:p w:rsidR="00B77A85" w:rsidRDefault="00B77A85" w:rsidP="00B77A85">
            <w:pPr>
              <w:jc w:val="both"/>
              <w:rPr>
                <w:rFonts w:eastAsiaTheme="minorHAnsi" w:cs="Arial"/>
                <w:bCs/>
                <w:noProof/>
                <w:sz w:val="24"/>
              </w:rPr>
            </w:pPr>
            <w:r>
              <w:rPr>
                <w:rFonts w:cs="Arial"/>
                <w:color w:val="000000"/>
                <w:sz w:val="24"/>
              </w:rPr>
              <w:t>Similar to gender and d</w:t>
            </w:r>
            <w:r>
              <w:rPr>
                <w:rFonts w:eastAsiaTheme="minorHAnsi" w:cs="Arial"/>
                <w:bCs/>
                <w:noProof/>
                <w:sz w:val="24"/>
              </w:rPr>
              <w:t>epending on the situation, it may be appropriate to ensure that the person/s carrying out the engagement has the same sexual orientation as a sexual orientation specific engagement group</w:t>
            </w:r>
          </w:p>
          <w:p w:rsidR="00B77A85" w:rsidRPr="003E0C55" w:rsidRDefault="00B77A85" w:rsidP="00B77A85">
            <w:pPr>
              <w:autoSpaceDE w:val="0"/>
              <w:autoSpaceDN w:val="0"/>
              <w:adjustRightInd w:val="0"/>
              <w:spacing w:after="0"/>
              <w:jc w:val="both"/>
              <w:rPr>
                <w:rFonts w:cs="Arial"/>
                <w:color w:val="000000"/>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570"/>
        </w:trPr>
        <w:tc>
          <w:tcPr>
            <w:tcW w:w="5050" w:type="dxa"/>
            <w:vMerge/>
          </w:tcPr>
          <w:p w:rsidR="0087304B" w:rsidRPr="003E0C55" w:rsidRDefault="0087304B" w:rsidP="003E0C55">
            <w:pPr>
              <w:jc w:val="both"/>
              <w:rPr>
                <w:rFonts w:cs="Arial"/>
                <w:sz w:val="24"/>
              </w:rPr>
            </w:pPr>
          </w:p>
        </w:tc>
        <w:tc>
          <w:tcPr>
            <w:tcW w:w="5050" w:type="dxa"/>
            <w:vMerge/>
          </w:tcPr>
          <w:p w:rsidR="0087304B" w:rsidRPr="003E0C55" w:rsidRDefault="0087304B" w:rsidP="003E0C55">
            <w:pPr>
              <w:spacing w:after="0"/>
              <w:jc w:val="both"/>
              <w:rPr>
                <w:rFonts w:cs="Arial"/>
                <w:sz w:val="24"/>
              </w:rPr>
            </w:pPr>
          </w:p>
        </w:tc>
      </w:tr>
      <w:tr w:rsidR="0087304B" w:rsidRPr="003E0C55" w:rsidTr="002C715A">
        <w:trPr>
          <w:trHeight w:val="330"/>
        </w:trPr>
        <w:tc>
          <w:tcPr>
            <w:tcW w:w="5050" w:type="dxa"/>
            <w:vMerge/>
          </w:tcPr>
          <w:p w:rsidR="0087304B" w:rsidRPr="003E0C55" w:rsidRDefault="0087304B" w:rsidP="003E0C55">
            <w:pPr>
              <w:spacing w:after="0"/>
              <w:jc w:val="both"/>
              <w:rPr>
                <w:rFonts w:cs="Arial"/>
                <w:sz w:val="24"/>
              </w:rPr>
            </w:pPr>
          </w:p>
        </w:tc>
        <w:tc>
          <w:tcPr>
            <w:tcW w:w="5050" w:type="dxa"/>
            <w:vMerge/>
          </w:tcPr>
          <w:p w:rsidR="0087304B" w:rsidRPr="003E0C55" w:rsidRDefault="0087304B" w:rsidP="003E0C55">
            <w:pPr>
              <w:spacing w:after="0"/>
              <w:jc w:val="both"/>
              <w:rPr>
                <w:rFonts w:cs="Arial"/>
                <w:sz w:val="24"/>
              </w:rPr>
            </w:pPr>
          </w:p>
        </w:tc>
      </w:tr>
    </w:tbl>
    <w:p w:rsidR="00641B03" w:rsidRDefault="00641B03" w:rsidP="003E0C55">
      <w:pPr>
        <w:spacing w:after="0"/>
        <w:jc w:val="both"/>
        <w:rPr>
          <w:rFonts w:cs="Arial"/>
          <w:b/>
          <w:sz w:val="24"/>
        </w:rPr>
      </w:pPr>
    </w:p>
    <w:p w:rsidR="00D37D91" w:rsidRDefault="00D37D91"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123CE8" w:rsidRDefault="00123CE8" w:rsidP="003E0C55">
      <w:pPr>
        <w:spacing w:after="0"/>
        <w:jc w:val="both"/>
        <w:rPr>
          <w:rFonts w:cs="Arial"/>
          <w:b/>
          <w:sz w:val="24"/>
        </w:rPr>
      </w:pPr>
    </w:p>
    <w:p w:rsidR="00B77A85" w:rsidRPr="003E0C55" w:rsidRDefault="00B77A85" w:rsidP="003E0C55">
      <w:pPr>
        <w:spacing w:after="0"/>
        <w:jc w:val="both"/>
        <w:rPr>
          <w:rFonts w:cs="Arial"/>
          <w:b/>
          <w:sz w:val="24"/>
        </w:rPr>
      </w:pPr>
    </w:p>
    <w:p w:rsidR="0087304B" w:rsidRPr="003E0C55" w:rsidRDefault="0087304B" w:rsidP="009B5881">
      <w:pPr>
        <w:pStyle w:val="BodyText2"/>
        <w:numPr>
          <w:ilvl w:val="1"/>
          <w:numId w:val="18"/>
        </w:numPr>
        <w:spacing w:before="240" w:after="240"/>
        <w:jc w:val="both"/>
        <w:rPr>
          <w:rFonts w:cs="Arial"/>
          <w:bCs/>
          <w:sz w:val="24"/>
          <w:szCs w:val="24"/>
        </w:rPr>
      </w:pPr>
      <w:r w:rsidRPr="003E0C55">
        <w:rPr>
          <w:rFonts w:cs="Arial"/>
          <w:bCs/>
          <w:sz w:val="24"/>
          <w:szCs w:val="24"/>
        </w:rPr>
        <w:lastRenderedPageBreak/>
        <w:t>Good Relations</w:t>
      </w:r>
    </w:p>
    <w:p w:rsidR="0087304B" w:rsidRPr="003E0C55" w:rsidRDefault="0087304B" w:rsidP="003E0C55">
      <w:pPr>
        <w:pStyle w:val="BodyText2"/>
        <w:spacing w:before="240" w:after="240"/>
        <w:ind w:left="700"/>
        <w:jc w:val="both"/>
        <w:rPr>
          <w:rFonts w:cs="Arial"/>
          <w:bCs/>
          <w:sz w:val="24"/>
          <w:szCs w:val="24"/>
        </w:rPr>
      </w:pPr>
      <w:r w:rsidRPr="003E0C55">
        <w:rPr>
          <w:rFonts w:cs="Arial"/>
          <w:bCs/>
          <w:sz w:val="24"/>
          <w:szCs w:val="24"/>
        </w:rPr>
        <w:t xml:space="preserve">What changes to the policy or decision – if any – or what additional measures would you suggest to ensure that it promotes good relations? </w:t>
      </w:r>
      <w:r w:rsidRPr="003E0C55">
        <w:rPr>
          <w:rFonts w:cs="Arial"/>
          <w:sz w:val="24"/>
          <w:szCs w:val="24"/>
        </w:rPr>
        <w:t>(refer to guidance notes for guidance on impact)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3870"/>
        <w:gridCol w:w="3870"/>
      </w:tblGrid>
      <w:tr w:rsidR="0087304B" w:rsidRPr="003E0C55" w:rsidTr="002C715A">
        <w:trPr>
          <w:jc w:val="center"/>
        </w:trPr>
        <w:tc>
          <w:tcPr>
            <w:tcW w:w="2356" w:type="dxa"/>
            <w:tcBorders>
              <w:bottom w:val="single" w:sz="4" w:space="0" w:color="auto"/>
            </w:tcBorders>
            <w:shd w:val="clear" w:color="auto" w:fill="B3B3B3"/>
          </w:tcPr>
          <w:p w:rsidR="0087304B" w:rsidRPr="003E0C55" w:rsidRDefault="0087304B" w:rsidP="003E0C55">
            <w:pPr>
              <w:jc w:val="both"/>
              <w:rPr>
                <w:rFonts w:cs="Arial"/>
                <w:b/>
                <w:bCs/>
                <w:i/>
                <w:iCs/>
                <w:sz w:val="24"/>
              </w:rPr>
            </w:pPr>
            <w:r w:rsidRPr="003E0C55">
              <w:rPr>
                <w:rFonts w:cs="Arial"/>
                <w:b/>
                <w:bCs/>
                <w:i/>
                <w:iCs/>
                <w:sz w:val="24"/>
              </w:rPr>
              <w:t>Group</w:t>
            </w:r>
          </w:p>
        </w:tc>
        <w:tc>
          <w:tcPr>
            <w:tcW w:w="3870" w:type="dxa"/>
            <w:shd w:val="clear" w:color="auto" w:fill="B3B3B3"/>
          </w:tcPr>
          <w:p w:rsidR="0087304B" w:rsidRPr="003E0C55" w:rsidRDefault="0087304B" w:rsidP="003E0C55">
            <w:pPr>
              <w:jc w:val="both"/>
              <w:rPr>
                <w:rFonts w:cs="Arial"/>
                <w:b/>
                <w:i/>
                <w:sz w:val="24"/>
              </w:rPr>
            </w:pPr>
            <w:r w:rsidRPr="003E0C55">
              <w:rPr>
                <w:rFonts w:cs="Arial"/>
                <w:b/>
                <w:i/>
                <w:sz w:val="24"/>
              </w:rPr>
              <w:t>Impact</w:t>
            </w:r>
          </w:p>
        </w:tc>
        <w:tc>
          <w:tcPr>
            <w:tcW w:w="3870" w:type="dxa"/>
            <w:shd w:val="clear" w:color="auto" w:fill="B3B3B3"/>
          </w:tcPr>
          <w:p w:rsidR="0087304B" w:rsidRPr="003E0C55" w:rsidRDefault="0087304B" w:rsidP="003E0C55">
            <w:pPr>
              <w:jc w:val="both"/>
              <w:rPr>
                <w:rFonts w:cs="Arial"/>
                <w:b/>
                <w:i/>
                <w:sz w:val="24"/>
              </w:rPr>
            </w:pPr>
            <w:r w:rsidRPr="003E0C55">
              <w:rPr>
                <w:rFonts w:cs="Arial"/>
                <w:b/>
                <w:i/>
                <w:sz w:val="24"/>
              </w:rPr>
              <w:t>Suggestions</w:t>
            </w:r>
          </w:p>
        </w:tc>
      </w:tr>
      <w:tr w:rsidR="00EE0C45" w:rsidRPr="003E0C55" w:rsidTr="002C715A">
        <w:trPr>
          <w:jc w:val="center"/>
        </w:trPr>
        <w:tc>
          <w:tcPr>
            <w:tcW w:w="2356" w:type="dxa"/>
            <w:shd w:val="clear" w:color="auto" w:fill="E6E6E6"/>
          </w:tcPr>
          <w:p w:rsidR="00EE0C45" w:rsidRPr="003E0C55" w:rsidRDefault="00EE0C45" w:rsidP="003E0C55">
            <w:pPr>
              <w:spacing w:after="0"/>
              <w:jc w:val="both"/>
              <w:rPr>
                <w:rFonts w:cs="Arial"/>
                <w:sz w:val="24"/>
              </w:rPr>
            </w:pPr>
            <w:r w:rsidRPr="003E0C55">
              <w:rPr>
                <w:rFonts w:cs="Arial"/>
                <w:sz w:val="24"/>
              </w:rPr>
              <w:t>Religion</w:t>
            </w:r>
          </w:p>
        </w:tc>
        <w:tc>
          <w:tcPr>
            <w:tcW w:w="3870" w:type="dxa"/>
          </w:tcPr>
          <w:p w:rsidR="00EE0C45" w:rsidRDefault="00EE0C45" w:rsidP="00D521E6">
            <w:pPr>
              <w:spacing w:after="0"/>
              <w:jc w:val="both"/>
              <w:rPr>
                <w:rFonts w:cs="Arial"/>
                <w:sz w:val="24"/>
              </w:rPr>
            </w:pPr>
            <w:r>
              <w:rPr>
                <w:rFonts w:cs="Arial"/>
                <w:sz w:val="24"/>
              </w:rPr>
              <w:t>Tackling any inequalities in the safeguarding and promoting the welfare of children and young people will help promote equality of opportunity and good relations.</w:t>
            </w:r>
          </w:p>
          <w:p w:rsidR="00EE0C45" w:rsidRPr="003E0C55" w:rsidRDefault="00EE0C45" w:rsidP="00D521E6">
            <w:pPr>
              <w:spacing w:after="0"/>
              <w:jc w:val="both"/>
              <w:rPr>
                <w:rFonts w:cs="Arial"/>
                <w:sz w:val="24"/>
              </w:rPr>
            </w:pPr>
          </w:p>
        </w:tc>
        <w:tc>
          <w:tcPr>
            <w:tcW w:w="3870" w:type="dxa"/>
          </w:tcPr>
          <w:p w:rsidR="00EE0C45" w:rsidRDefault="00EE0C45" w:rsidP="00D521E6">
            <w:pPr>
              <w:spacing w:after="0"/>
              <w:jc w:val="both"/>
              <w:rPr>
                <w:rFonts w:cs="Arial"/>
                <w:sz w:val="24"/>
              </w:rPr>
            </w:pPr>
            <w:r>
              <w:rPr>
                <w:rFonts w:cs="Arial"/>
                <w:sz w:val="24"/>
              </w:rPr>
              <w:t>Continued focus on partnership working and public participation where appropriate.</w:t>
            </w:r>
          </w:p>
          <w:p w:rsidR="00EE0C45" w:rsidRPr="003E0C55" w:rsidRDefault="00EE0C45" w:rsidP="00D521E6">
            <w:pPr>
              <w:spacing w:after="0"/>
              <w:jc w:val="both"/>
              <w:rPr>
                <w:rFonts w:cs="Arial"/>
                <w:sz w:val="24"/>
              </w:rPr>
            </w:pPr>
          </w:p>
        </w:tc>
      </w:tr>
      <w:tr w:rsidR="0087304B" w:rsidRPr="003E0C55" w:rsidTr="002C715A">
        <w:trPr>
          <w:jc w:val="center"/>
        </w:trPr>
        <w:tc>
          <w:tcPr>
            <w:tcW w:w="2356" w:type="dxa"/>
            <w:shd w:val="clear" w:color="auto" w:fill="E6E6E6"/>
          </w:tcPr>
          <w:p w:rsidR="0087304B" w:rsidRPr="003E0C55" w:rsidRDefault="0087304B" w:rsidP="003E0C55">
            <w:pPr>
              <w:spacing w:after="0"/>
              <w:jc w:val="both"/>
              <w:rPr>
                <w:rFonts w:cs="Arial"/>
                <w:sz w:val="24"/>
              </w:rPr>
            </w:pPr>
            <w:r w:rsidRPr="003E0C55">
              <w:rPr>
                <w:rFonts w:cs="Arial"/>
                <w:sz w:val="24"/>
              </w:rPr>
              <w:t>Political Opinion</w:t>
            </w:r>
          </w:p>
        </w:tc>
        <w:tc>
          <w:tcPr>
            <w:tcW w:w="3870" w:type="dxa"/>
          </w:tcPr>
          <w:p w:rsidR="0087304B" w:rsidRDefault="00A65960" w:rsidP="003E0C55">
            <w:pPr>
              <w:spacing w:after="0"/>
              <w:jc w:val="both"/>
              <w:rPr>
                <w:rFonts w:cs="Arial"/>
                <w:sz w:val="24"/>
              </w:rPr>
            </w:pPr>
            <w:r w:rsidRPr="003E0C55">
              <w:rPr>
                <w:rFonts w:cs="Arial"/>
                <w:sz w:val="24"/>
              </w:rPr>
              <w:t>Not applicable</w:t>
            </w:r>
          </w:p>
          <w:p w:rsidR="00D37D91" w:rsidRPr="003E0C55" w:rsidRDefault="00D37D91" w:rsidP="003E0C55">
            <w:pPr>
              <w:spacing w:after="0"/>
              <w:jc w:val="both"/>
              <w:rPr>
                <w:rFonts w:cs="Arial"/>
                <w:sz w:val="24"/>
              </w:rPr>
            </w:pPr>
          </w:p>
        </w:tc>
        <w:tc>
          <w:tcPr>
            <w:tcW w:w="3870" w:type="dxa"/>
          </w:tcPr>
          <w:p w:rsidR="0087304B" w:rsidRPr="003E0C55" w:rsidRDefault="0087304B" w:rsidP="003E0C55">
            <w:pPr>
              <w:spacing w:after="0"/>
              <w:jc w:val="both"/>
              <w:rPr>
                <w:rFonts w:cs="Arial"/>
                <w:sz w:val="24"/>
              </w:rPr>
            </w:pPr>
          </w:p>
        </w:tc>
      </w:tr>
      <w:tr w:rsidR="0087304B" w:rsidRPr="003E0C55" w:rsidTr="002C715A">
        <w:trPr>
          <w:jc w:val="center"/>
        </w:trPr>
        <w:tc>
          <w:tcPr>
            <w:tcW w:w="2356" w:type="dxa"/>
            <w:shd w:val="clear" w:color="auto" w:fill="E6E6E6"/>
          </w:tcPr>
          <w:p w:rsidR="0087304B" w:rsidRPr="003E0C55" w:rsidRDefault="0087304B" w:rsidP="003E0C55">
            <w:pPr>
              <w:spacing w:after="0"/>
              <w:jc w:val="both"/>
              <w:rPr>
                <w:rFonts w:cs="Arial"/>
                <w:sz w:val="24"/>
              </w:rPr>
            </w:pPr>
            <w:r w:rsidRPr="003E0C55">
              <w:rPr>
                <w:rFonts w:cs="Arial"/>
                <w:sz w:val="24"/>
              </w:rPr>
              <w:t>Ethnicity</w:t>
            </w:r>
          </w:p>
        </w:tc>
        <w:tc>
          <w:tcPr>
            <w:tcW w:w="3870" w:type="dxa"/>
          </w:tcPr>
          <w:p w:rsidR="0087304B" w:rsidRDefault="00A65960" w:rsidP="003E0C55">
            <w:pPr>
              <w:spacing w:after="0"/>
              <w:jc w:val="both"/>
              <w:rPr>
                <w:rFonts w:cs="Arial"/>
                <w:sz w:val="24"/>
              </w:rPr>
            </w:pPr>
            <w:r w:rsidRPr="003E0C55">
              <w:rPr>
                <w:rFonts w:cs="Arial"/>
                <w:sz w:val="24"/>
              </w:rPr>
              <w:t>Not applicable</w:t>
            </w:r>
          </w:p>
          <w:p w:rsidR="00D37D91" w:rsidRPr="003E0C55" w:rsidRDefault="00D37D91" w:rsidP="003E0C55">
            <w:pPr>
              <w:spacing w:after="0"/>
              <w:jc w:val="both"/>
              <w:rPr>
                <w:rFonts w:cs="Arial"/>
                <w:sz w:val="24"/>
              </w:rPr>
            </w:pPr>
          </w:p>
        </w:tc>
        <w:tc>
          <w:tcPr>
            <w:tcW w:w="3870" w:type="dxa"/>
          </w:tcPr>
          <w:p w:rsidR="0087304B" w:rsidRPr="003E0C55" w:rsidRDefault="0087304B" w:rsidP="003E0C55">
            <w:pPr>
              <w:spacing w:after="0"/>
              <w:jc w:val="both"/>
              <w:rPr>
                <w:rFonts w:cs="Arial"/>
                <w:sz w:val="24"/>
              </w:rPr>
            </w:pPr>
          </w:p>
        </w:tc>
      </w:tr>
    </w:tbl>
    <w:p w:rsidR="00CE6933" w:rsidRPr="003E0C55" w:rsidRDefault="00CE6933" w:rsidP="00946D5D">
      <w:pPr>
        <w:jc w:val="both"/>
        <w:rPr>
          <w:rFonts w:cs="Arial"/>
          <w:sz w:val="24"/>
        </w:rPr>
      </w:pPr>
      <w:r w:rsidRPr="003E0C55">
        <w:rPr>
          <w:rFonts w:cs="Arial"/>
          <w:sz w:val="24"/>
        </w:rPr>
        <w:br w:type="page"/>
      </w:r>
    </w:p>
    <w:p w:rsidR="0087304B" w:rsidRPr="003E0C55" w:rsidRDefault="0087304B" w:rsidP="003E0C55">
      <w:pPr>
        <w:ind w:left="700" w:hanging="700"/>
        <w:jc w:val="both"/>
        <w:rPr>
          <w:rFonts w:cs="Arial"/>
          <w:b/>
          <w:bCs/>
          <w:sz w:val="24"/>
        </w:rPr>
      </w:pPr>
      <w:r w:rsidRPr="008A500A">
        <w:rPr>
          <w:rFonts w:cs="Arial"/>
          <w:b/>
          <w:bCs/>
          <w:sz w:val="24"/>
        </w:rPr>
        <w:lastRenderedPageBreak/>
        <w:t>(3)</w:t>
      </w:r>
      <w:r w:rsidRPr="008A500A">
        <w:rPr>
          <w:rFonts w:cs="Arial"/>
          <w:b/>
          <w:bCs/>
          <w:sz w:val="24"/>
        </w:rPr>
        <w:tab/>
        <w:t>SHOULD THE POLICY OR DECISION BE SUBJECT TO A FULL EQUALITY IMPACT ASSESSMENT?</w:t>
      </w:r>
    </w:p>
    <w:p w:rsidR="00CE6933" w:rsidRPr="003E0C55" w:rsidRDefault="0087304B" w:rsidP="003E0C55">
      <w:pPr>
        <w:jc w:val="both"/>
        <w:rPr>
          <w:rFonts w:cs="Arial"/>
          <w:b/>
          <w:sz w:val="24"/>
        </w:rPr>
      </w:pPr>
      <w:r w:rsidRPr="003E0C55">
        <w:rPr>
          <w:rFonts w:cs="Arial"/>
          <w:b/>
          <w:sz w:val="24"/>
        </w:rPr>
        <w:t>A full equality impact assessment (EQIA) is usually confined to those policies or decisions considered to have major implicatio</w:t>
      </w:r>
      <w:r w:rsidR="00CE6933" w:rsidRPr="003E0C55">
        <w:rPr>
          <w:rFonts w:cs="Arial"/>
          <w:b/>
          <w:sz w:val="24"/>
        </w:rPr>
        <w:t>ns for equality of opportunity.</w:t>
      </w:r>
    </w:p>
    <w:p w:rsidR="0087304B" w:rsidRPr="003E0C55" w:rsidRDefault="0087304B" w:rsidP="003E0C55">
      <w:pPr>
        <w:jc w:val="both"/>
        <w:rPr>
          <w:rFonts w:cs="Arial"/>
          <w:b/>
          <w:sz w:val="24"/>
        </w:rPr>
      </w:pPr>
      <w:r w:rsidRPr="003E0C55">
        <w:rPr>
          <w:rFonts w:cs="Arial"/>
          <w:b/>
          <w:sz w:val="24"/>
        </w:rPr>
        <w:t>How would you categorise the impacts of this decision or policy? (refer to guidance notes for guidance on impact)</w:t>
      </w:r>
    </w:p>
    <w:p w:rsidR="0087304B" w:rsidRPr="003E0C55" w:rsidRDefault="0087304B" w:rsidP="003E0C55">
      <w:pPr>
        <w:pStyle w:val="Heading1"/>
        <w:spacing w:line="240" w:lineRule="auto"/>
        <w:jc w:val="both"/>
        <w:rPr>
          <w:sz w:val="24"/>
          <w:szCs w:val="24"/>
        </w:rPr>
      </w:pPr>
      <w:r w:rsidRPr="003E0C55">
        <w:rPr>
          <w:sz w:val="24"/>
          <w:szCs w:val="24"/>
        </w:rPr>
        <w:b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448"/>
      </w:tblGrid>
      <w:tr w:rsidR="0087304B" w:rsidRPr="003E0C55" w:rsidTr="004310B7">
        <w:tc>
          <w:tcPr>
            <w:tcW w:w="2380" w:type="dxa"/>
          </w:tcPr>
          <w:p w:rsidR="0087304B" w:rsidRPr="003E0C55" w:rsidRDefault="0087304B" w:rsidP="003E0C55">
            <w:pPr>
              <w:spacing w:before="120" w:after="120"/>
              <w:jc w:val="both"/>
              <w:rPr>
                <w:rFonts w:cs="Arial"/>
                <w:sz w:val="24"/>
              </w:rPr>
            </w:pPr>
            <w:r w:rsidRPr="003E0C55">
              <w:rPr>
                <w:rFonts w:cs="Arial"/>
                <w:sz w:val="24"/>
              </w:rPr>
              <w:t>Major impact</w:t>
            </w:r>
          </w:p>
        </w:tc>
        <w:tc>
          <w:tcPr>
            <w:tcW w:w="1448" w:type="dxa"/>
          </w:tcPr>
          <w:p w:rsidR="0087304B" w:rsidRPr="003E0C55" w:rsidRDefault="0087304B" w:rsidP="003E0C55">
            <w:pPr>
              <w:spacing w:before="120" w:after="120"/>
              <w:jc w:val="both"/>
              <w:rPr>
                <w:rFonts w:cs="Arial"/>
                <w:sz w:val="24"/>
              </w:rPr>
            </w:pPr>
          </w:p>
        </w:tc>
      </w:tr>
      <w:tr w:rsidR="005B51AF" w:rsidRPr="003E0C55" w:rsidTr="004310B7">
        <w:tc>
          <w:tcPr>
            <w:tcW w:w="2380" w:type="dxa"/>
          </w:tcPr>
          <w:p w:rsidR="005B51AF" w:rsidRPr="003E0C55" w:rsidRDefault="005B51AF" w:rsidP="003E0C55">
            <w:pPr>
              <w:spacing w:before="120" w:after="120"/>
              <w:jc w:val="both"/>
              <w:rPr>
                <w:rFonts w:cs="Arial"/>
                <w:sz w:val="24"/>
              </w:rPr>
            </w:pPr>
            <w:r w:rsidRPr="003E0C55">
              <w:rPr>
                <w:rFonts w:cs="Arial"/>
                <w:sz w:val="24"/>
              </w:rPr>
              <w:t>Minor impact</w:t>
            </w:r>
          </w:p>
        </w:tc>
        <w:tc>
          <w:tcPr>
            <w:tcW w:w="1448" w:type="dxa"/>
          </w:tcPr>
          <w:p w:rsidR="005B51AF" w:rsidRPr="003E0C55" w:rsidRDefault="005B51AF" w:rsidP="005E0187">
            <w:pPr>
              <w:pStyle w:val="ListParagraph"/>
              <w:numPr>
                <w:ilvl w:val="0"/>
                <w:numId w:val="2"/>
              </w:numPr>
              <w:spacing w:before="120" w:after="120" w:line="240" w:lineRule="auto"/>
              <w:jc w:val="both"/>
              <w:rPr>
                <w:rFonts w:ascii="Arial" w:hAnsi="Arial" w:cs="Arial"/>
                <w:sz w:val="24"/>
                <w:szCs w:val="24"/>
              </w:rPr>
            </w:pPr>
          </w:p>
        </w:tc>
      </w:tr>
      <w:tr w:rsidR="005B51AF" w:rsidRPr="003E0C55" w:rsidTr="004310B7">
        <w:tc>
          <w:tcPr>
            <w:tcW w:w="2380" w:type="dxa"/>
          </w:tcPr>
          <w:p w:rsidR="005B51AF" w:rsidRPr="003E0C55" w:rsidRDefault="005B51AF" w:rsidP="003E0C55">
            <w:pPr>
              <w:spacing w:before="120" w:after="120"/>
              <w:jc w:val="both"/>
              <w:rPr>
                <w:rFonts w:cs="Arial"/>
                <w:sz w:val="24"/>
              </w:rPr>
            </w:pPr>
            <w:r w:rsidRPr="003E0C55">
              <w:rPr>
                <w:rFonts w:cs="Arial"/>
                <w:sz w:val="24"/>
              </w:rPr>
              <w:t>No further impact</w:t>
            </w:r>
          </w:p>
        </w:tc>
        <w:tc>
          <w:tcPr>
            <w:tcW w:w="1448" w:type="dxa"/>
          </w:tcPr>
          <w:p w:rsidR="005B51AF" w:rsidRPr="003E0C55" w:rsidRDefault="005B51AF" w:rsidP="003E0C55">
            <w:pPr>
              <w:spacing w:before="120" w:after="120"/>
              <w:ind w:left="720"/>
              <w:jc w:val="both"/>
              <w:rPr>
                <w:rFonts w:cs="Arial"/>
                <w:b/>
                <w:sz w:val="24"/>
              </w:rPr>
            </w:pPr>
          </w:p>
        </w:tc>
      </w:tr>
    </w:tbl>
    <w:p w:rsidR="00D37D91" w:rsidRDefault="00D37D91" w:rsidP="003E0C55">
      <w:pPr>
        <w:pStyle w:val="Heading1"/>
        <w:spacing w:line="240" w:lineRule="auto"/>
        <w:jc w:val="both"/>
        <w:rPr>
          <w:sz w:val="24"/>
          <w:szCs w:val="24"/>
        </w:rPr>
      </w:pPr>
    </w:p>
    <w:p w:rsidR="0087304B" w:rsidRPr="003E0C55" w:rsidRDefault="0087304B" w:rsidP="003E0C55">
      <w:pPr>
        <w:pStyle w:val="Heading1"/>
        <w:spacing w:line="240" w:lineRule="auto"/>
        <w:jc w:val="both"/>
        <w:rPr>
          <w:sz w:val="24"/>
          <w:szCs w:val="24"/>
        </w:rPr>
      </w:pPr>
      <w:r w:rsidRPr="003E0C55">
        <w:rPr>
          <w:sz w:val="24"/>
          <w:szCs w:val="24"/>
        </w:rPr>
        <w:t>Do you consider that this policy or decision needs to be subjected to a full equality impact assessment?</w:t>
      </w:r>
    </w:p>
    <w:p w:rsidR="0087304B" w:rsidRPr="003E0C55" w:rsidRDefault="0087304B" w:rsidP="003E0C55">
      <w:pPr>
        <w:jc w:val="both"/>
        <w:rPr>
          <w:rFonts w:cs="Arial"/>
          <w:b/>
          <w:sz w:val="24"/>
        </w:rPr>
      </w:pPr>
      <w:r w:rsidRPr="003E0C55">
        <w:rPr>
          <w:rFonts w:cs="Arial"/>
          <w:b/>
          <w:sz w:val="24"/>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09"/>
      </w:tblGrid>
      <w:tr w:rsidR="0087304B" w:rsidRPr="003E0C55" w:rsidTr="002C715A">
        <w:trPr>
          <w:cantSplit/>
        </w:trPr>
        <w:tc>
          <w:tcPr>
            <w:tcW w:w="900" w:type="dxa"/>
          </w:tcPr>
          <w:p w:rsidR="0087304B" w:rsidRPr="003E0C55" w:rsidRDefault="0087304B" w:rsidP="003E0C55">
            <w:pPr>
              <w:spacing w:before="120" w:after="120"/>
              <w:jc w:val="both"/>
              <w:rPr>
                <w:rFonts w:cs="Arial"/>
                <w:sz w:val="24"/>
              </w:rPr>
            </w:pPr>
            <w:r w:rsidRPr="003E0C55">
              <w:rPr>
                <w:rFonts w:cs="Arial"/>
                <w:sz w:val="24"/>
              </w:rPr>
              <w:t>Yes</w:t>
            </w:r>
          </w:p>
        </w:tc>
        <w:tc>
          <w:tcPr>
            <w:tcW w:w="1009" w:type="dxa"/>
          </w:tcPr>
          <w:p w:rsidR="0087304B" w:rsidRPr="003E0C55" w:rsidRDefault="0087304B" w:rsidP="003E0C55">
            <w:pPr>
              <w:spacing w:before="120" w:after="120"/>
              <w:jc w:val="both"/>
              <w:rPr>
                <w:rFonts w:cs="Arial"/>
                <w:sz w:val="24"/>
              </w:rPr>
            </w:pPr>
          </w:p>
        </w:tc>
      </w:tr>
      <w:tr w:rsidR="005B51AF" w:rsidRPr="003E0C55" w:rsidTr="002C715A">
        <w:trPr>
          <w:cantSplit/>
        </w:trPr>
        <w:tc>
          <w:tcPr>
            <w:tcW w:w="900" w:type="dxa"/>
          </w:tcPr>
          <w:p w:rsidR="005B51AF" w:rsidRPr="003E0C55" w:rsidRDefault="005B51AF" w:rsidP="003E0C55">
            <w:pPr>
              <w:spacing w:before="120" w:after="120"/>
              <w:jc w:val="both"/>
              <w:rPr>
                <w:rFonts w:cs="Arial"/>
                <w:sz w:val="24"/>
              </w:rPr>
            </w:pPr>
            <w:r w:rsidRPr="003E0C55">
              <w:rPr>
                <w:rFonts w:cs="Arial"/>
                <w:sz w:val="24"/>
              </w:rPr>
              <w:t>No</w:t>
            </w:r>
          </w:p>
        </w:tc>
        <w:tc>
          <w:tcPr>
            <w:tcW w:w="1009" w:type="dxa"/>
          </w:tcPr>
          <w:p w:rsidR="005B51AF" w:rsidRPr="003E0C55" w:rsidRDefault="005B51AF" w:rsidP="005E0187">
            <w:pPr>
              <w:pStyle w:val="ListParagraph"/>
              <w:numPr>
                <w:ilvl w:val="0"/>
                <w:numId w:val="2"/>
              </w:numPr>
              <w:spacing w:before="120" w:after="120" w:line="240" w:lineRule="auto"/>
              <w:jc w:val="both"/>
              <w:rPr>
                <w:rFonts w:ascii="Arial" w:hAnsi="Arial" w:cs="Arial"/>
                <w:sz w:val="24"/>
                <w:szCs w:val="24"/>
              </w:rPr>
            </w:pPr>
          </w:p>
        </w:tc>
      </w:tr>
    </w:tbl>
    <w:p w:rsidR="008A500A" w:rsidRDefault="008A500A" w:rsidP="008A500A">
      <w:pPr>
        <w:spacing w:before="120"/>
        <w:jc w:val="both"/>
        <w:rPr>
          <w:rFonts w:cs="Arial"/>
          <w:b/>
          <w:sz w:val="24"/>
        </w:rPr>
      </w:pPr>
    </w:p>
    <w:p w:rsidR="0087304B" w:rsidRPr="003E0C55" w:rsidRDefault="008A500A" w:rsidP="008A500A">
      <w:pPr>
        <w:spacing w:before="120"/>
        <w:jc w:val="both"/>
        <w:rPr>
          <w:rFonts w:cs="Arial"/>
          <w:sz w:val="24"/>
        </w:rPr>
      </w:pPr>
      <w:r w:rsidRPr="008A500A">
        <w:rPr>
          <w:rFonts w:cs="Arial"/>
          <w:b/>
          <w:sz w:val="24"/>
        </w:rPr>
        <w:t>Please give reasons for your decisions</w:t>
      </w:r>
      <w:r w:rsidRPr="003E0C55">
        <w:rPr>
          <w:rFonts w:cs="Arial"/>
          <w:sz w:val="24"/>
        </w:rPr>
        <w:t>.</w:t>
      </w:r>
      <w:r w:rsidRPr="003E0C55">
        <w:rPr>
          <w:rFonts w:cs="Arial"/>
          <w:b/>
          <w:sz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A500A" w:rsidRPr="003E0C55" w:rsidTr="008A500A">
        <w:tc>
          <w:tcPr>
            <w:tcW w:w="10188" w:type="dxa"/>
          </w:tcPr>
          <w:p w:rsidR="00D038BF" w:rsidRPr="00D038BF" w:rsidRDefault="00D038BF" w:rsidP="00D038BF">
            <w:pPr>
              <w:jc w:val="both"/>
              <w:rPr>
                <w:rFonts w:eastAsiaTheme="minorHAnsi" w:cs="Arial"/>
                <w:color w:val="000000"/>
                <w:sz w:val="24"/>
              </w:rPr>
            </w:pPr>
            <w:r w:rsidRPr="00D038BF">
              <w:rPr>
                <w:rFonts w:eastAsiaTheme="minorHAnsi" w:cs="Arial"/>
                <w:color w:val="000000"/>
                <w:sz w:val="24"/>
              </w:rPr>
              <w:t>The main equality issues that have been identified have been add</w:t>
            </w:r>
            <w:r w:rsidR="00F8523E">
              <w:rPr>
                <w:rFonts w:eastAsiaTheme="minorHAnsi" w:cs="Arial"/>
                <w:color w:val="000000"/>
                <w:sz w:val="24"/>
              </w:rPr>
              <w:t>ressed in the strategy and equality screening template</w:t>
            </w:r>
            <w:r w:rsidRPr="00D038BF">
              <w:rPr>
                <w:rFonts w:eastAsiaTheme="minorHAnsi" w:cs="Arial"/>
                <w:color w:val="000000"/>
                <w:sz w:val="24"/>
              </w:rPr>
              <w:t xml:space="preserve">. It is not thought that subjecting the </w:t>
            </w:r>
            <w:r>
              <w:rPr>
                <w:rFonts w:eastAsiaTheme="minorHAnsi" w:cs="Arial"/>
                <w:color w:val="000000"/>
                <w:sz w:val="24"/>
              </w:rPr>
              <w:t>SBNI Engagement Strategy</w:t>
            </w:r>
            <w:r w:rsidRPr="00D038BF">
              <w:rPr>
                <w:rFonts w:eastAsiaTheme="minorHAnsi" w:cs="Arial"/>
                <w:color w:val="000000"/>
                <w:sz w:val="24"/>
              </w:rPr>
              <w:t xml:space="preserve"> to an EQIA will identify further opportunities to promote equality of opportunity.</w:t>
            </w:r>
          </w:p>
          <w:p w:rsidR="00F8523E" w:rsidRDefault="00D038BF" w:rsidP="00D038BF">
            <w:pPr>
              <w:jc w:val="both"/>
              <w:rPr>
                <w:rFonts w:eastAsiaTheme="minorHAnsi" w:cs="Arial"/>
                <w:color w:val="000000"/>
                <w:sz w:val="24"/>
              </w:rPr>
            </w:pPr>
            <w:r w:rsidRPr="00D038BF">
              <w:rPr>
                <w:rFonts w:eastAsiaTheme="minorHAnsi" w:cs="Arial"/>
                <w:color w:val="000000"/>
                <w:sz w:val="24"/>
              </w:rPr>
              <w:t xml:space="preserve">The SBNI </w:t>
            </w:r>
            <w:r>
              <w:rPr>
                <w:rFonts w:eastAsiaTheme="minorHAnsi" w:cs="Arial"/>
                <w:color w:val="000000"/>
                <w:sz w:val="24"/>
              </w:rPr>
              <w:t>Engagement Strategy</w:t>
            </w:r>
            <w:r w:rsidR="00F8523E">
              <w:rPr>
                <w:rFonts w:eastAsiaTheme="minorHAnsi" w:cs="Arial"/>
                <w:color w:val="000000"/>
                <w:sz w:val="24"/>
              </w:rPr>
              <w:t xml:space="preserve"> 2021-2023</w:t>
            </w:r>
            <w:r w:rsidRPr="00D038BF">
              <w:rPr>
                <w:rFonts w:eastAsiaTheme="minorHAnsi" w:cs="Arial"/>
                <w:color w:val="000000"/>
                <w:sz w:val="24"/>
              </w:rPr>
              <w:t xml:space="preserve"> sets out </w:t>
            </w:r>
            <w:r w:rsidR="00F8523E">
              <w:rPr>
                <w:rFonts w:eastAsiaTheme="minorHAnsi" w:cs="Arial"/>
                <w:color w:val="000000"/>
                <w:sz w:val="24"/>
              </w:rPr>
              <w:t>how the SBNI will ensure engagement with children and young people occurs and the means, methods, parameters that the SBNI, those SBNI member agencies and relevant partner agencies will adhere to, apply and utilise in such engagements</w:t>
            </w:r>
          </w:p>
          <w:p w:rsidR="00F8523E" w:rsidRPr="00F8523E" w:rsidRDefault="00F8523E" w:rsidP="00F8523E">
            <w:pPr>
              <w:jc w:val="both"/>
              <w:rPr>
                <w:rFonts w:eastAsiaTheme="minorHAnsi" w:cs="Arial"/>
                <w:color w:val="000000"/>
                <w:sz w:val="24"/>
              </w:rPr>
            </w:pPr>
            <w:r w:rsidRPr="00F8523E">
              <w:rPr>
                <w:rFonts w:eastAsiaTheme="minorHAnsi" w:cs="Arial"/>
                <w:color w:val="000000"/>
                <w:sz w:val="24"/>
              </w:rPr>
              <w:t>Fundamental to this is securing the engagement of children and young people early in these planning processes to maximise the effectiveness and inclusivity of the work of the SBNI.</w:t>
            </w:r>
          </w:p>
          <w:p w:rsidR="00D038BF" w:rsidRPr="00D038BF" w:rsidRDefault="00D038BF" w:rsidP="00D038BF">
            <w:pPr>
              <w:jc w:val="both"/>
              <w:rPr>
                <w:rFonts w:eastAsiaTheme="minorHAnsi" w:cs="Arial"/>
                <w:color w:val="000000"/>
                <w:sz w:val="24"/>
              </w:rPr>
            </w:pPr>
            <w:r w:rsidRPr="00D038BF">
              <w:rPr>
                <w:rFonts w:eastAsiaTheme="minorHAnsi" w:cs="Arial"/>
                <w:color w:val="000000"/>
                <w:sz w:val="24"/>
              </w:rPr>
              <w:t>Therefore a full Equality Impact Assessment is not required at this stage.</w:t>
            </w:r>
          </w:p>
          <w:p w:rsidR="00933629" w:rsidRDefault="00933629" w:rsidP="00D038BF">
            <w:pPr>
              <w:jc w:val="both"/>
              <w:rPr>
                <w:rFonts w:eastAsiaTheme="minorHAnsi" w:cs="Arial"/>
                <w:color w:val="000000"/>
                <w:sz w:val="24"/>
              </w:rPr>
            </w:pPr>
          </w:p>
          <w:p w:rsidR="00933629" w:rsidRPr="003E0C55" w:rsidRDefault="00933629" w:rsidP="003E0C55">
            <w:pPr>
              <w:jc w:val="both"/>
              <w:rPr>
                <w:rFonts w:eastAsiaTheme="minorHAnsi" w:cs="Arial"/>
                <w:color w:val="000000"/>
                <w:sz w:val="24"/>
              </w:rPr>
            </w:pPr>
          </w:p>
        </w:tc>
      </w:tr>
    </w:tbl>
    <w:p w:rsidR="00D37D91" w:rsidRDefault="00D37D91" w:rsidP="003E0C55">
      <w:pPr>
        <w:spacing w:after="0"/>
        <w:jc w:val="both"/>
      </w:pPr>
    </w:p>
    <w:p w:rsidR="0087304B" w:rsidRPr="003E0C55" w:rsidRDefault="002742AD" w:rsidP="003E0C55">
      <w:pPr>
        <w:spacing w:after="0"/>
        <w:jc w:val="both"/>
        <w:rPr>
          <w:rFonts w:cs="Arial"/>
          <w:b/>
          <w:bCs/>
          <w:sz w:val="24"/>
        </w:rPr>
      </w:pPr>
      <w:hyperlink w:anchor="four" w:history="1">
        <w:r w:rsidR="0087304B" w:rsidRPr="003E0C55">
          <w:rPr>
            <w:rFonts w:cs="Arial"/>
            <w:b/>
            <w:sz w:val="24"/>
          </w:rPr>
          <w:t>(4)</w:t>
        </w:r>
        <w:r w:rsidR="0087304B" w:rsidRPr="003E0C55">
          <w:rPr>
            <w:rFonts w:cs="Arial"/>
            <w:b/>
            <w:sz w:val="24"/>
          </w:rPr>
          <w:tab/>
          <w:t xml:space="preserve">CONSIDERATION OF DISABILITY </w:t>
        </w:r>
      </w:hyperlink>
      <w:r w:rsidR="0087304B" w:rsidRPr="003E0C55">
        <w:rPr>
          <w:rFonts w:cs="Arial"/>
          <w:b/>
          <w:bCs/>
          <w:sz w:val="24"/>
        </w:rPr>
        <w:t>DUTIES</w:t>
      </w: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bCs/>
          <w:sz w:val="24"/>
        </w:rPr>
        <w:t>4.1</w:t>
      </w:r>
      <w:r w:rsidRPr="003E0C55">
        <w:rPr>
          <w:rFonts w:cs="Arial"/>
          <w:b/>
          <w:bCs/>
          <w:sz w:val="24"/>
        </w:rPr>
        <w:tab/>
        <w:t>In what ways does the policy or decision encourage disabled people to participate in public life and what else could you do to do so?</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4749"/>
      </w:tblGrid>
      <w:tr w:rsidR="009B5CF6" w:rsidRPr="003E0C55" w:rsidTr="002C715A">
        <w:tc>
          <w:tcPr>
            <w:tcW w:w="6828" w:type="dxa"/>
            <w:shd w:val="clear" w:color="auto" w:fill="B3B3B3"/>
          </w:tcPr>
          <w:p w:rsidR="0087304B" w:rsidRPr="003E0C55" w:rsidRDefault="0087304B" w:rsidP="003E0C55">
            <w:pPr>
              <w:spacing w:after="0"/>
              <w:jc w:val="both"/>
              <w:rPr>
                <w:rFonts w:cs="Arial"/>
                <w:b/>
                <w:i/>
                <w:sz w:val="24"/>
              </w:rPr>
            </w:pPr>
            <w:r w:rsidRPr="003E0C55">
              <w:rPr>
                <w:rFonts w:cs="Arial"/>
                <w:b/>
                <w:i/>
                <w:sz w:val="24"/>
              </w:rPr>
              <w:t>How does the policy or decision currently encourage disabled people to participate in public life?</w:t>
            </w:r>
          </w:p>
        </w:tc>
        <w:tc>
          <w:tcPr>
            <w:tcW w:w="7280" w:type="dxa"/>
            <w:shd w:val="clear" w:color="auto" w:fill="B3B3B3"/>
          </w:tcPr>
          <w:p w:rsidR="0087304B" w:rsidRPr="003E0C55" w:rsidRDefault="0087304B" w:rsidP="003E0C55">
            <w:pPr>
              <w:spacing w:after="0"/>
              <w:jc w:val="both"/>
              <w:rPr>
                <w:rFonts w:cs="Arial"/>
                <w:b/>
                <w:i/>
                <w:sz w:val="24"/>
              </w:rPr>
            </w:pPr>
            <w:r w:rsidRPr="003E0C55">
              <w:rPr>
                <w:rFonts w:cs="Arial"/>
                <w:b/>
                <w:i/>
                <w:sz w:val="24"/>
              </w:rPr>
              <w:t>What else could you do to encourage disabled people to participate in public life?</w:t>
            </w:r>
          </w:p>
        </w:tc>
      </w:tr>
      <w:tr w:rsidR="009B5CF6" w:rsidRPr="003E0C55" w:rsidTr="002C715A">
        <w:tc>
          <w:tcPr>
            <w:tcW w:w="6828" w:type="dxa"/>
          </w:tcPr>
          <w:p w:rsidR="00482FCF" w:rsidRPr="003E0C55" w:rsidRDefault="005B51AF" w:rsidP="003E0C55">
            <w:pPr>
              <w:spacing w:after="0"/>
              <w:jc w:val="both"/>
              <w:rPr>
                <w:rFonts w:cs="Arial"/>
                <w:sz w:val="24"/>
              </w:rPr>
            </w:pPr>
            <w:r w:rsidRPr="003E0C55">
              <w:rPr>
                <w:rFonts w:cs="Arial"/>
                <w:sz w:val="24"/>
              </w:rPr>
              <w:t>Not applicable</w:t>
            </w:r>
          </w:p>
          <w:p w:rsidR="00482FCF" w:rsidRDefault="00482FCF" w:rsidP="003E0C55">
            <w:pPr>
              <w:spacing w:after="0"/>
              <w:jc w:val="both"/>
              <w:rPr>
                <w:rFonts w:cs="Arial"/>
                <w:sz w:val="24"/>
              </w:rPr>
            </w:pPr>
          </w:p>
          <w:p w:rsidR="00D37D91" w:rsidRPr="003E0C55" w:rsidRDefault="00D37D91" w:rsidP="003E0C55">
            <w:pPr>
              <w:spacing w:after="0"/>
              <w:jc w:val="both"/>
              <w:rPr>
                <w:rFonts w:cs="Arial"/>
                <w:sz w:val="24"/>
              </w:rPr>
            </w:pPr>
          </w:p>
        </w:tc>
        <w:tc>
          <w:tcPr>
            <w:tcW w:w="7280" w:type="dxa"/>
          </w:tcPr>
          <w:p w:rsidR="009B5CF6" w:rsidRPr="003E0C55" w:rsidRDefault="005B51AF" w:rsidP="003E0C55">
            <w:pPr>
              <w:spacing w:after="0"/>
              <w:jc w:val="both"/>
              <w:rPr>
                <w:rFonts w:cs="Arial"/>
                <w:sz w:val="24"/>
              </w:rPr>
            </w:pPr>
            <w:r w:rsidRPr="003E0C55">
              <w:rPr>
                <w:rFonts w:cs="Arial"/>
                <w:sz w:val="24"/>
              </w:rPr>
              <w:t>Not applicable</w:t>
            </w:r>
          </w:p>
          <w:p w:rsidR="0087304B" w:rsidRPr="003E0C55" w:rsidRDefault="0087304B" w:rsidP="003E0C55">
            <w:pPr>
              <w:spacing w:after="0"/>
              <w:jc w:val="both"/>
              <w:rPr>
                <w:rFonts w:cs="Arial"/>
                <w:sz w:val="24"/>
              </w:rPr>
            </w:pPr>
          </w:p>
        </w:tc>
      </w:tr>
    </w:tbl>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bCs/>
          <w:sz w:val="24"/>
        </w:rPr>
        <w:t>4.2</w:t>
      </w:r>
      <w:r w:rsidRPr="003E0C55">
        <w:rPr>
          <w:rFonts w:cs="Arial"/>
          <w:b/>
          <w:bCs/>
          <w:sz w:val="24"/>
        </w:rPr>
        <w:tab/>
        <w:t>In what ways does the policy or decision promote positive attitudes towards disabled people and what else could you do to do so?</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751"/>
      </w:tblGrid>
      <w:tr w:rsidR="0087304B" w:rsidRPr="003E0C55" w:rsidTr="002C715A">
        <w:tc>
          <w:tcPr>
            <w:tcW w:w="6828" w:type="dxa"/>
            <w:shd w:val="clear" w:color="auto" w:fill="B3B3B3"/>
          </w:tcPr>
          <w:p w:rsidR="0087304B" w:rsidRPr="003E0C55" w:rsidRDefault="0087304B" w:rsidP="003E0C55">
            <w:pPr>
              <w:spacing w:after="0"/>
              <w:jc w:val="both"/>
              <w:rPr>
                <w:rFonts w:cs="Arial"/>
                <w:b/>
                <w:i/>
                <w:sz w:val="24"/>
              </w:rPr>
            </w:pPr>
            <w:r w:rsidRPr="003E0C55">
              <w:rPr>
                <w:rFonts w:cs="Arial"/>
                <w:b/>
                <w:bCs/>
                <w:i/>
                <w:iCs/>
                <w:sz w:val="24"/>
              </w:rPr>
              <w:t>How does the policy or decision currently promote positive attitudes towards disabled people?</w:t>
            </w:r>
          </w:p>
        </w:tc>
        <w:tc>
          <w:tcPr>
            <w:tcW w:w="7280" w:type="dxa"/>
            <w:shd w:val="clear" w:color="auto" w:fill="B3B3B3"/>
          </w:tcPr>
          <w:p w:rsidR="0087304B" w:rsidRPr="003E0C55" w:rsidRDefault="0087304B" w:rsidP="003E0C55">
            <w:pPr>
              <w:spacing w:after="0"/>
              <w:jc w:val="both"/>
              <w:rPr>
                <w:rFonts w:cs="Arial"/>
                <w:b/>
                <w:i/>
                <w:sz w:val="24"/>
              </w:rPr>
            </w:pPr>
            <w:r w:rsidRPr="003E0C55">
              <w:rPr>
                <w:rFonts w:cs="Arial"/>
                <w:b/>
                <w:i/>
                <w:sz w:val="24"/>
              </w:rPr>
              <w:t xml:space="preserve">What else could you do to </w:t>
            </w:r>
            <w:r w:rsidRPr="003E0C55">
              <w:rPr>
                <w:rFonts w:cs="Arial"/>
                <w:b/>
                <w:bCs/>
                <w:i/>
                <w:iCs/>
                <w:sz w:val="24"/>
              </w:rPr>
              <w:t>promote positive attitudes towards disabled people?</w:t>
            </w:r>
          </w:p>
        </w:tc>
      </w:tr>
      <w:tr w:rsidR="0087304B" w:rsidRPr="003E0C55" w:rsidTr="002C715A">
        <w:tc>
          <w:tcPr>
            <w:tcW w:w="6828" w:type="dxa"/>
          </w:tcPr>
          <w:p w:rsidR="0087304B" w:rsidRPr="003E0C55" w:rsidRDefault="005B51AF" w:rsidP="003E0C55">
            <w:pPr>
              <w:spacing w:after="0"/>
              <w:jc w:val="both"/>
              <w:rPr>
                <w:rFonts w:cs="Arial"/>
                <w:sz w:val="24"/>
              </w:rPr>
            </w:pPr>
            <w:r w:rsidRPr="003E0C55">
              <w:rPr>
                <w:rFonts w:cs="Arial"/>
                <w:sz w:val="24"/>
              </w:rPr>
              <w:t xml:space="preserve">Not applicable </w:t>
            </w: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c>
        <w:tc>
          <w:tcPr>
            <w:tcW w:w="7280" w:type="dxa"/>
          </w:tcPr>
          <w:p w:rsidR="009B5CF6" w:rsidRPr="003E0C55" w:rsidRDefault="005B51AF" w:rsidP="003E0C55">
            <w:pPr>
              <w:autoSpaceDE w:val="0"/>
              <w:autoSpaceDN w:val="0"/>
              <w:adjustRightInd w:val="0"/>
              <w:spacing w:after="0"/>
              <w:jc w:val="both"/>
              <w:rPr>
                <w:rFonts w:eastAsiaTheme="minorHAnsi" w:cs="Arial"/>
                <w:sz w:val="24"/>
              </w:rPr>
            </w:pPr>
            <w:r w:rsidRPr="003E0C55">
              <w:rPr>
                <w:rFonts w:eastAsiaTheme="minorHAnsi" w:cs="Arial"/>
                <w:sz w:val="24"/>
              </w:rPr>
              <w:t>Not applicable</w:t>
            </w:r>
          </w:p>
          <w:p w:rsidR="0087304B" w:rsidRPr="003E0C55" w:rsidRDefault="0087304B" w:rsidP="003E0C55">
            <w:pPr>
              <w:spacing w:after="0"/>
              <w:jc w:val="both"/>
              <w:rPr>
                <w:rFonts w:cs="Arial"/>
                <w:sz w:val="24"/>
              </w:rPr>
            </w:pPr>
          </w:p>
        </w:tc>
      </w:tr>
    </w:tbl>
    <w:p w:rsidR="0087304B" w:rsidRPr="003E0C55" w:rsidRDefault="0087304B" w:rsidP="003E0C55">
      <w:pPr>
        <w:spacing w:after="0"/>
        <w:jc w:val="both"/>
        <w:rPr>
          <w:rFonts w:cs="Arial"/>
          <w:sz w:val="24"/>
        </w:rPr>
      </w:pPr>
    </w:p>
    <w:p w:rsidR="00482FCF" w:rsidRPr="003E0C55" w:rsidRDefault="00482FCF" w:rsidP="003E0C55">
      <w:pPr>
        <w:spacing w:after="0"/>
        <w:jc w:val="both"/>
        <w:rPr>
          <w:rFonts w:cs="Arial"/>
          <w:sz w:val="24"/>
        </w:rPr>
      </w:pPr>
    </w:p>
    <w:p w:rsidR="00482FCF" w:rsidRPr="003E0C55" w:rsidRDefault="00482FCF" w:rsidP="003E0C55">
      <w:pPr>
        <w:spacing w:after="0"/>
        <w:jc w:val="both"/>
        <w:rPr>
          <w:rFonts w:cs="Arial"/>
          <w:sz w:val="24"/>
        </w:rPr>
      </w:pPr>
    </w:p>
    <w:p w:rsidR="00482FCF" w:rsidRPr="003E0C55" w:rsidRDefault="00482FCF" w:rsidP="003E0C55">
      <w:pPr>
        <w:spacing w:after="0"/>
        <w:jc w:val="both"/>
        <w:rPr>
          <w:rFonts w:cs="Arial"/>
          <w:sz w:val="24"/>
        </w:rPr>
      </w:pPr>
    </w:p>
    <w:p w:rsidR="00482FCF" w:rsidRPr="003E0C55" w:rsidRDefault="00482FCF" w:rsidP="003E0C55">
      <w:pPr>
        <w:spacing w:after="0"/>
        <w:jc w:val="both"/>
        <w:rPr>
          <w:rFonts w:cs="Arial"/>
          <w:sz w:val="24"/>
        </w:rPr>
      </w:pPr>
    </w:p>
    <w:p w:rsidR="00482FCF" w:rsidRPr="003E0C55" w:rsidRDefault="00482FCF" w:rsidP="003E0C55">
      <w:pPr>
        <w:spacing w:after="0"/>
        <w:jc w:val="both"/>
        <w:rPr>
          <w:rFonts w:cs="Arial"/>
          <w:sz w:val="24"/>
        </w:rPr>
      </w:pPr>
    </w:p>
    <w:p w:rsidR="00482FCF" w:rsidRPr="003E0C55" w:rsidRDefault="00482FCF" w:rsidP="003E0C55">
      <w:pPr>
        <w:spacing w:after="0"/>
        <w:jc w:val="both"/>
        <w:rPr>
          <w:rFonts w:cs="Arial"/>
          <w:sz w:val="24"/>
        </w:rPr>
      </w:pPr>
    </w:p>
    <w:p w:rsidR="00CE6933" w:rsidRPr="003E0C55" w:rsidRDefault="00CE6933" w:rsidP="003E0C55">
      <w:pPr>
        <w:spacing w:after="0"/>
        <w:jc w:val="both"/>
        <w:rPr>
          <w:rFonts w:cs="Arial"/>
          <w:sz w:val="24"/>
        </w:rPr>
      </w:pPr>
      <w:r w:rsidRPr="003E0C55">
        <w:rPr>
          <w:rFonts w:cs="Arial"/>
          <w:sz w:val="24"/>
        </w:rPr>
        <w:br w:type="page"/>
      </w:r>
    </w:p>
    <w:p w:rsidR="0087304B" w:rsidRPr="003E0C55" w:rsidRDefault="002742AD" w:rsidP="003E0C55">
      <w:pPr>
        <w:spacing w:after="0"/>
        <w:jc w:val="both"/>
        <w:rPr>
          <w:rFonts w:cs="Arial"/>
          <w:b/>
          <w:sz w:val="24"/>
        </w:rPr>
      </w:pPr>
      <w:hyperlink w:anchor="five" w:history="1">
        <w:r w:rsidR="0087304B" w:rsidRPr="003E0C55">
          <w:rPr>
            <w:rFonts w:cs="Arial"/>
            <w:b/>
            <w:sz w:val="24"/>
          </w:rPr>
          <w:t>(5)</w:t>
        </w:r>
        <w:r w:rsidR="0087304B" w:rsidRPr="003E0C55">
          <w:rPr>
            <w:rFonts w:cs="Arial"/>
            <w:b/>
            <w:sz w:val="24"/>
          </w:rPr>
          <w:tab/>
          <w:t>CONSIDERATION OF HUMAN RIGHTS</w:t>
        </w:r>
      </w:hyperlink>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sz w:val="24"/>
        </w:rPr>
        <w:t>5.1</w:t>
      </w:r>
      <w:r w:rsidRPr="003E0C55">
        <w:rPr>
          <w:rFonts w:cs="Arial"/>
          <w:b/>
          <w:sz w:val="24"/>
        </w:rPr>
        <w:tab/>
        <w:t>Does the policy or decision affect anyone’s Human Rights?</w:t>
      </w:r>
      <w:r w:rsidRPr="003E0C55">
        <w:rPr>
          <w:rFonts w:cs="Arial"/>
          <w:b/>
          <w:sz w:val="24"/>
        </w:rPr>
        <w:br/>
        <w:t>Complete for each of the articles</w:t>
      </w:r>
    </w:p>
    <w:p w:rsidR="0087304B" w:rsidRPr="003E0C55" w:rsidRDefault="0087304B" w:rsidP="003E0C55">
      <w:pPr>
        <w:spacing w:after="0"/>
        <w:jc w:val="both"/>
        <w:rPr>
          <w:rFonts w:cs="Arial"/>
          <w:b/>
          <w:sz w:val="24"/>
        </w:rPr>
      </w:pPr>
    </w:p>
    <w:p w:rsidR="00F72723" w:rsidRPr="003E0C55" w:rsidRDefault="00F72723" w:rsidP="003E0C55">
      <w:pPr>
        <w:spacing w:after="0"/>
        <w:jc w:val="both"/>
        <w:rPr>
          <w:rFonts w:cs="Arial"/>
          <w:sz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1820"/>
      </w:tblGrid>
      <w:tr w:rsidR="0087304B" w:rsidRPr="003E0C55" w:rsidTr="002C715A">
        <w:tc>
          <w:tcPr>
            <w:tcW w:w="6968" w:type="dxa"/>
            <w:shd w:val="clear" w:color="auto" w:fill="B3B3B3"/>
          </w:tcPr>
          <w:p w:rsidR="0087304B" w:rsidRPr="003E0C55" w:rsidRDefault="0087304B" w:rsidP="003E0C55">
            <w:pPr>
              <w:spacing w:after="0"/>
              <w:jc w:val="both"/>
              <w:rPr>
                <w:rFonts w:cs="Arial"/>
                <w:b/>
                <w:sz w:val="24"/>
              </w:rPr>
            </w:pPr>
            <w:r w:rsidRPr="003E0C55">
              <w:rPr>
                <w:rFonts w:cs="Arial"/>
                <w:b/>
                <w:sz w:val="24"/>
              </w:rPr>
              <w:t>ARTICLE</w:t>
            </w:r>
          </w:p>
          <w:p w:rsidR="0087304B" w:rsidRPr="003E0C55" w:rsidRDefault="0087304B" w:rsidP="003E0C55">
            <w:pPr>
              <w:spacing w:after="0"/>
              <w:jc w:val="both"/>
              <w:rPr>
                <w:rFonts w:cs="Arial"/>
                <w:b/>
                <w:sz w:val="24"/>
              </w:rPr>
            </w:pPr>
          </w:p>
        </w:tc>
        <w:tc>
          <w:tcPr>
            <w:tcW w:w="1820" w:type="dxa"/>
            <w:shd w:val="clear" w:color="auto" w:fill="B3B3B3"/>
          </w:tcPr>
          <w:p w:rsidR="0087304B" w:rsidRPr="003E0C55" w:rsidRDefault="0087304B" w:rsidP="003E0C55">
            <w:pPr>
              <w:spacing w:after="0"/>
              <w:jc w:val="both"/>
              <w:rPr>
                <w:rFonts w:cs="Arial"/>
                <w:b/>
                <w:sz w:val="24"/>
              </w:rPr>
            </w:pPr>
            <w:r w:rsidRPr="003E0C55">
              <w:rPr>
                <w:rFonts w:cs="Arial"/>
                <w:b/>
                <w:sz w:val="24"/>
              </w:rPr>
              <w:t>Yes/No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2 – Right to life</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3 – Right to freedom from torture, inhuman or degrading treatment or punishment</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4 – Right to freedom from slavery, servitude &amp; forced or compulsory labour</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80"/>
        </w:trPr>
        <w:tc>
          <w:tcPr>
            <w:tcW w:w="6968" w:type="dxa"/>
          </w:tcPr>
          <w:p w:rsidR="0087304B" w:rsidRPr="003E0C55" w:rsidRDefault="0087304B" w:rsidP="003E0C55">
            <w:pPr>
              <w:spacing w:after="0"/>
              <w:jc w:val="both"/>
              <w:rPr>
                <w:rFonts w:cs="Arial"/>
                <w:sz w:val="24"/>
              </w:rPr>
            </w:pPr>
            <w:r w:rsidRPr="003E0C55">
              <w:rPr>
                <w:rFonts w:cs="Arial"/>
                <w:sz w:val="24"/>
              </w:rPr>
              <w:t>Article 5 – Right to liberty &amp; security of person</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6 – Right to a fair &amp; public trial within a reasonable time</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7 – Right to freedom from retrospective criminal law &amp; no punishment without law</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8 – Right to respect for private &amp; family life, home and correspondence.</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9 – Right to freedom of thought, conscience &amp; religion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29"/>
        </w:trPr>
        <w:tc>
          <w:tcPr>
            <w:tcW w:w="6968" w:type="dxa"/>
          </w:tcPr>
          <w:p w:rsidR="0087304B" w:rsidRPr="003E0C55" w:rsidRDefault="0087304B" w:rsidP="003E0C55">
            <w:pPr>
              <w:spacing w:after="0"/>
              <w:jc w:val="both"/>
              <w:rPr>
                <w:rFonts w:cs="Arial"/>
                <w:sz w:val="24"/>
              </w:rPr>
            </w:pPr>
            <w:r w:rsidRPr="003E0C55">
              <w:rPr>
                <w:rFonts w:cs="Arial"/>
                <w:sz w:val="24"/>
              </w:rPr>
              <w:t>Article 10 – Right to freedom of expression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29"/>
        </w:trPr>
        <w:tc>
          <w:tcPr>
            <w:tcW w:w="6968" w:type="dxa"/>
          </w:tcPr>
          <w:p w:rsidR="0087304B" w:rsidRPr="003E0C55" w:rsidRDefault="0087304B" w:rsidP="003E0C55">
            <w:pPr>
              <w:spacing w:after="0"/>
              <w:jc w:val="both"/>
              <w:rPr>
                <w:rFonts w:cs="Arial"/>
                <w:sz w:val="24"/>
              </w:rPr>
            </w:pPr>
            <w:r w:rsidRPr="003E0C55">
              <w:rPr>
                <w:rFonts w:cs="Arial"/>
                <w:sz w:val="24"/>
              </w:rPr>
              <w:t>Article 11 – Right to freedom of assembly &amp; association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12 – Right to marry &amp; found a family</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14 – Prohibition of discrimination in the enjoyment of the convention rights</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1 – Right to a peaceful enjoyment of possessions &amp; protection of property</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2 – Right of access to education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bl>
    <w:p w:rsidR="0087304B" w:rsidRPr="003E0C55" w:rsidRDefault="0087304B" w:rsidP="003E0C55">
      <w:pPr>
        <w:spacing w:after="0"/>
        <w:jc w:val="both"/>
        <w:rPr>
          <w:rFonts w:cs="Arial"/>
          <w:i/>
          <w:sz w:val="24"/>
        </w:rPr>
      </w:pPr>
    </w:p>
    <w:p w:rsidR="0087304B" w:rsidRPr="003E0C55" w:rsidRDefault="0087304B" w:rsidP="003E0C55">
      <w:pPr>
        <w:spacing w:after="0"/>
        <w:jc w:val="both"/>
        <w:rPr>
          <w:rFonts w:cs="Arial"/>
          <w:i/>
          <w:sz w:val="24"/>
        </w:rPr>
      </w:pPr>
      <w:r w:rsidRPr="003E0C55">
        <w:rPr>
          <w:rFonts w:cs="Arial"/>
          <w:i/>
          <w:sz w:val="24"/>
        </w:rPr>
        <w:t xml:space="preserve">If you have answered no to all of the above please move on to </w:t>
      </w:r>
      <w:r w:rsidRPr="003E0C55">
        <w:rPr>
          <w:rFonts w:cs="Arial"/>
          <w:b/>
          <w:bCs/>
          <w:i/>
          <w:sz w:val="24"/>
        </w:rPr>
        <w:t xml:space="preserve">Question 6 </w:t>
      </w:r>
      <w:r w:rsidRPr="003E0C55">
        <w:rPr>
          <w:rFonts w:cs="Arial"/>
          <w:bCs/>
          <w:i/>
          <w:sz w:val="24"/>
        </w:rPr>
        <w:t>on monitoring</w:t>
      </w:r>
    </w:p>
    <w:p w:rsidR="0087304B" w:rsidRPr="003E0C55" w:rsidRDefault="0087304B" w:rsidP="003E0C55">
      <w:pPr>
        <w:spacing w:after="0"/>
        <w:jc w:val="both"/>
        <w:rPr>
          <w:rFonts w:cs="Arial"/>
          <w:sz w:val="24"/>
        </w:rPr>
      </w:pPr>
    </w:p>
    <w:p w:rsidR="008A500A" w:rsidRDefault="008A500A" w:rsidP="003E0C55">
      <w:pPr>
        <w:spacing w:after="0"/>
        <w:ind w:left="700" w:hanging="700"/>
        <w:jc w:val="both"/>
        <w:rPr>
          <w:rFonts w:cs="Arial"/>
          <w:b/>
          <w:sz w:val="24"/>
        </w:rPr>
      </w:pPr>
    </w:p>
    <w:p w:rsidR="008A500A" w:rsidRDefault="008A500A" w:rsidP="003E0C55">
      <w:pPr>
        <w:spacing w:after="0"/>
        <w:ind w:left="700" w:hanging="700"/>
        <w:jc w:val="both"/>
        <w:rPr>
          <w:rFonts w:cs="Arial"/>
          <w:b/>
          <w:sz w:val="24"/>
        </w:rPr>
      </w:pPr>
    </w:p>
    <w:p w:rsidR="008A500A" w:rsidRDefault="008A500A" w:rsidP="003E0C55">
      <w:pPr>
        <w:spacing w:after="0"/>
        <w:ind w:left="700" w:hanging="700"/>
        <w:jc w:val="both"/>
        <w:rPr>
          <w:rFonts w:cs="Arial"/>
          <w:b/>
          <w:sz w:val="24"/>
        </w:rPr>
      </w:pPr>
    </w:p>
    <w:p w:rsidR="008A500A" w:rsidRDefault="008A500A" w:rsidP="003E0C55">
      <w:pPr>
        <w:spacing w:after="0"/>
        <w:ind w:left="700" w:hanging="700"/>
        <w:jc w:val="both"/>
        <w:rPr>
          <w:rFonts w:cs="Arial"/>
          <w:b/>
          <w:sz w:val="24"/>
        </w:rPr>
      </w:pPr>
    </w:p>
    <w:p w:rsidR="00D37D91" w:rsidRDefault="00D37D91" w:rsidP="003E0C55">
      <w:pPr>
        <w:spacing w:after="0"/>
        <w:ind w:left="700" w:hanging="700"/>
        <w:jc w:val="both"/>
        <w:rPr>
          <w:rFonts w:cs="Arial"/>
          <w:b/>
          <w:sz w:val="24"/>
        </w:rPr>
      </w:pPr>
    </w:p>
    <w:p w:rsidR="00D37D91" w:rsidRDefault="00D37D91" w:rsidP="003E0C55">
      <w:pPr>
        <w:spacing w:after="0"/>
        <w:ind w:left="700" w:hanging="700"/>
        <w:jc w:val="both"/>
        <w:rPr>
          <w:rFonts w:cs="Arial"/>
          <w:b/>
          <w:sz w:val="24"/>
        </w:rPr>
      </w:pPr>
    </w:p>
    <w:p w:rsidR="00D37D91" w:rsidRDefault="00D37D91" w:rsidP="003E0C55">
      <w:pPr>
        <w:spacing w:after="0"/>
        <w:ind w:left="700" w:hanging="700"/>
        <w:jc w:val="both"/>
        <w:rPr>
          <w:rFonts w:cs="Arial"/>
          <w:b/>
          <w:sz w:val="24"/>
        </w:rPr>
      </w:pPr>
    </w:p>
    <w:p w:rsidR="008A500A" w:rsidRDefault="008A500A" w:rsidP="003E0C55">
      <w:pPr>
        <w:spacing w:after="0"/>
        <w:ind w:left="700" w:hanging="700"/>
        <w:jc w:val="both"/>
        <w:rPr>
          <w:rFonts w:cs="Arial"/>
          <w:b/>
          <w:sz w:val="24"/>
        </w:rPr>
      </w:pPr>
    </w:p>
    <w:p w:rsidR="0087304B" w:rsidRPr="003E0C55" w:rsidRDefault="0087304B" w:rsidP="003E0C55">
      <w:pPr>
        <w:spacing w:after="0"/>
        <w:ind w:left="700" w:hanging="700"/>
        <w:jc w:val="both"/>
        <w:rPr>
          <w:rFonts w:cs="Arial"/>
          <w:b/>
          <w:sz w:val="24"/>
        </w:rPr>
      </w:pPr>
      <w:r w:rsidRPr="003E0C55">
        <w:rPr>
          <w:rFonts w:cs="Arial"/>
          <w:b/>
          <w:sz w:val="24"/>
        </w:rPr>
        <w:lastRenderedPageBreak/>
        <w:t>5.2</w:t>
      </w:r>
      <w:r w:rsidRPr="003E0C55">
        <w:rPr>
          <w:rFonts w:cs="Arial"/>
          <w:b/>
          <w:sz w:val="24"/>
        </w:rPr>
        <w:tab/>
        <w:t>If you have answered yes to any of the Articles in 5.1, does the policy or decision interfere with any of these rights? If so, what is the interference and who does it impact upon?</w:t>
      </w:r>
    </w:p>
    <w:p w:rsidR="0087304B" w:rsidRDefault="0087304B" w:rsidP="003E0C55">
      <w:pPr>
        <w:spacing w:after="0"/>
        <w:jc w:val="both"/>
        <w:rPr>
          <w:rFonts w:cs="Arial"/>
          <w:sz w:val="24"/>
        </w:rPr>
      </w:pPr>
    </w:p>
    <w:p w:rsidR="008A500A" w:rsidRPr="003E0C55" w:rsidRDefault="008A500A"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177"/>
        <w:gridCol w:w="2336"/>
        <w:gridCol w:w="2517"/>
      </w:tblGrid>
      <w:tr w:rsidR="0087304B" w:rsidRPr="003E0C55" w:rsidTr="002C715A">
        <w:tc>
          <w:tcPr>
            <w:tcW w:w="2480" w:type="dxa"/>
            <w:shd w:val="clear" w:color="auto" w:fill="B3B3B3"/>
          </w:tcPr>
          <w:p w:rsidR="0087304B" w:rsidRPr="003E0C55" w:rsidRDefault="0087304B" w:rsidP="003E0C55">
            <w:pPr>
              <w:spacing w:after="0"/>
              <w:jc w:val="both"/>
              <w:rPr>
                <w:rFonts w:cs="Arial"/>
                <w:b/>
                <w:sz w:val="24"/>
              </w:rPr>
            </w:pPr>
            <w:r w:rsidRPr="003E0C55">
              <w:rPr>
                <w:rFonts w:cs="Arial"/>
                <w:b/>
                <w:sz w:val="24"/>
              </w:rPr>
              <w:t>List the Article Number</w:t>
            </w:r>
          </w:p>
        </w:tc>
        <w:tc>
          <w:tcPr>
            <w:tcW w:w="2388" w:type="dxa"/>
            <w:shd w:val="clear" w:color="auto" w:fill="B3B3B3"/>
          </w:tcPr>
          <w:p w:rsidR="0087304B" w:rsidRPr="003E0C55" w:rsidRDefault="0087304B" w:rsidP="003E0C55">
            <w:pPr>
              <w:spacing w:after="0"/>
              <w:jc w:val="both"/>
              <w:rPr>
                <w:rFonts w:cs="Arial"/>
                <w:b/>
                <w:sz w:val="24"/>
              </w:rPr>
            </w:pPr>
            <w:r w:rsidRPr="003E0C55">
              <w:rPr>
                <w:rFonts w:cs="Arial"/>
                <w:b/>
                <w:sz w:val="24"/>
              </w:rPr>
              <w:t>Interfered with?</w:t>
            </w:r>
          </w:p>
          <w:p w:rsidR="0087304B" w:rsidRPr="003E0C55" w:rsidRDefault="0087304B" w:rsidP="003E0C55">
            <w:pPr>
              <w:spacing w:after="0"/>
              <w:jc w:val="both"/>
              <w:rPr>
                <w:rFonts w:cs="Arial"/>
                <w:b/>
                <w:sz w:val="24"/>
              </w:rPr>
            </w:pPr>
            <w:r w:rsidRPr="003E0C55">
              <w:rPr>
                <w:rFonts w:cs="Arial"/>
                <w:b/>
                <w:sz w:val="24"/>
              </w:rPr>
              <w:t>Yes/No</w:t>
            </w:r>
          </w:p>
        </w:tc>
        <w:tc>
          <w:tcPr>
            <w:tcW w:w="2520" w:type="dxa"/>
            <w:shd w:val="clear" w:color="auto" w:fill="B3B3B3"/>
          </w:tcPr>
          <w:p w:rsidR="0087304B" w:rsidRPr="003E0C55" w:rsidRDefault="0087304B" w:rsidP="003E0C55">
            <w:pPr>
              <w:spacing w:after="0"/>
              <w:jc w:val="both"/>
              <w:rPr>
                <w:rFonts w:cs="Arial"/>
                <w:b/>
                <w:sz w:val="24"/>
              </w:rPr>
            </w:pPr>
            <w:r w:rsidRPr="003E0C55">
              <w:rPr>
                <w:rFonts w:cs="Arial"/>
                <w:b/>
                <w:sz w:val="24"/>
              </w:rPr>
              <w:t>What is the interference and who does it impact upon?</w:t>
            </w:r>
          </w:p>
        </w:tc>
        <w:tc>
          <w:tcPr>
            <w:tcW w:w="2841" w:type="dxa"/>
            <w:shd w:val="clear" w:color="auto" w:fill="B3B3B3"/>
          </w:tcPr>
          <w:p w:rsidR="0087304B" w:rsidRPr="003E0C55" w:rsidRDefault="0087304B" w:rsidP="003E0C55">
            <w:pPr>
              <w:spacing w:after="0"/>
              <w:jc w:val="both"/>
              <w:rPr>
                <w:rFonts w:cs="Arial"/>
                <w:b/>
                <w:sz w:val="24"/>
              </w:rPr>
            </w:pPr>
            <w:r w:rsidRPr="003E0C55">
              <w:rPr>
                <w:rFonts w:cs="Arial"/>
                <w:b/>
                <w:sz w:val="24"/>
              </w:rPr>
              <w:t>Does this raise legal issues?*</w:t>
            </w:r>
          </w:p>
          <w:p w:rsidR="0087304B" w:rsidRPr="003E0C55" w:rsidRDefault="0087304B" w:rsidP="003E0C55">
            <w:pPr>
              <w:spacing w:after="0"/>
              <w:jc w:val="both"/>
              <w:rPr>
                <w:rFonts w:cs="Arial"/>
                <w:b/>
                <w:sz w:val="24"/>
              </w:rPr>
            </w:pPr>
          </w:p>
          <w:p w:rsidR="0087304B" w:rsidRPr="003E0C55" w:rsidRDefault="0087304B" w:rsidP="003E0C55">
            <w:pPr>
              <w:spacing w:after="0"/>
              <w:jc w:val="both"/>
              <w:rPr>
                <w:rFonts w:cs="Arial"/>
                <w:b/>
                <w:sz w:val="24"/>
              </w:rPr>
            </w:pPr>
          </w:p>
          <w:p w:rsidR="0087304B" w:rsidRPr="003E0C55" w:rsidRDefault="0087304B" w:rsidP="003E0C55">
            <w:pPr>
              <w:spacing w:after="0"/>
              <w:jc w:val="both"/>
              <w:rPr>
                <w:rFonts w:cs="Arial"/>
                <w:b/>
                <w:sz w:val="24"/>
              </w:rPr>
            </w:pPr>
            <w:r w:rsidRPr="003E0C55">
              <w:rPr>
                <w:rFonts w:cs="Arial"/>
                <w:b/>
                <w:sz w:val="24"/>
              </w:rPr>
              <w:t>Yes/No</w:t>
            </w:r>
          </w:p>
        </w:tc>
      </w:tr>
      <w:tr w:rsidR="0087304B" w:rsidRPr="003E0C55" w:rsidTr="002C715A">
        <w:tc>
          <w:tcPr>
            <w:tcW w:w="2480" w:type="dxa"/>
          </w:tcPr>
          <w:p w:rsidR="0087304B" w:rsidRPr="003E0C55" w:rsidRDefault="0087304B" w:rsidP="003E0C55">
            <w:pPr>
              <w:spacing w:after="0"/>
              <w:jc w:val="both"/>
              <w:rPr>
                <w:rFonts w:cs="Arial"/>
                <w:sz w:val="24"/>
              </w:rPr>
            </w:pP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c>
        <w:tc>
          <w:tcPr>
            <w:tcW w:w="2388" w:type="dxa"/>
          </w:tcPr>
          <w:p w:rsidR="0087304B" w:rsidRPr="003E0C55" w:rsidRDefault="0087304B" w:rsidP="003E0C55">
            <w:pPr>
              <w:spacing w:after="0"/>
              <w:jc w:val="both"/>
              <w:rPr>
                <w:rFonts w:cs="Arial"/>
                <w:sz w:val="24"/>
              </w:rPr>
            </w:pPr>
          </w:p>
        </w:tc>
        <w:tc>
          <w:tcPr>
            <w:tcW w:w="2520" w:type="dxa"/>
          </w:tcPr>
          <w:p w:rsidR="0087304B" w:rsidRPr="003E0C55" w:rsidRDefault="0087304B" w:rsidP="003E0C55">
            <w:pPr>
              <w:spacing w:after="0"/>
              <w:jc w:val="both"/>
              <w:rPr>
                <w:rFonts w:cs="Arial"/>
                <w:sz w:val="24"/>
              </w:rPr>
            </w:pPr>
          </w:p>
        </w:tc>
        <w:tc>
          <w:tcPr>
            <w:tcW w:w="2841" w:type="dxa"/>
          </w:tcPr>
          <w:p w:rsidR="0087304B" w:rsidRPr="003E0C55" w:rsidRDefault="0087304B" w:rsidP="003E0C55">
            <w:pPr>
              <w:spacing w:after="0"/>
              <w:jc w:val="both"/>
              <w:rPr>
                <w:rFonts w:cs="Arial"/>
                <w:sz w:val="24"/>
              </w:rPr>
            </w:pPr>
          </w:p>
        </w:tc>
      </w:tr>
    </w:tbl>
    <w:p w:rsidR="0087304B" w:rsidRPr="003E0C55" w:rsidRDefault="0087304B" w:rsidP="003E0C55">
      <w:pPr>
        <w:spacing w:after="0"/>
        <w:jc w:val="both"/>
        <w:rPr>
          <w:rFonts w:cs="Arial"/>
          <w:i/>
          <w:sz w:val="24"/>
        </w:rPr>
      </w:pPr>
      <w:r w:rsidRPr="003E0C55">
        <w:rPr>
          <w:rFonts w:cs="Arial"/>
          <w:i/>
          <w:sz w:val="24"/>
        </w:rPr>
        <w:t xml:space="preserve">* It is important to speak to your line manager on this and if necessary seek legal opinion to clarify this </w:t>
      </w:r>
    </w:p>
    <w:p w:rsidR="0087304B" w:rsidRPr="003E0C55" w:rsidRDefault="0087304B" w:rsidP="003E0C55">
      <w:pPr>
        <w:spacing w:after="0"/>
        <w:jc w:val="both"/>
        <w:rPr>
          <w:rFonts w:cs="Arial"/>
          <w:sz w:val="24"/>
        </w:rPr>
      </w:pP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sz w:val="24"/>
        </w:rPr>
        <w:t>5.3</w:t>
      </w:r>
      <w:r w:rsidRPr="003E0C55">
        <w:rPr>
          <w:rFonts w:cs="Arial"/>
          <w:b/>
          <w:sz w:val="24"/>
        </w:rPr>
        <w:tab/>
        <w:t>Outline any actions which could be taken to promote or raise awareness of human rights or to ensure compliance with the legislation in relation to the policy or decision.</w:t>
      </w:r>
    </w:p>
    <w:p w:rsidR="0087304B" w:rsidRPr="003E0C55" w:rsidRDefault="0087304B" w:rsidP="003E0C55">
      <w:pPr>
        <w:spacing w:after="0"/>
        <w:jc w:val="both"/>
        <w:rPr>
          <w:rFonts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7304B" w:rsidRPr="003E0C55" w:rsidTr="003A1330">
        <w:tc>
          <w:tcPr>
            <w:tcW w:w="9464" w:type="dxa"/>
          </w:tcPr>
          <w:p w:rsidR="003C00B7" w:rsidRPr="003E0C55" w:rsidRDefault="003C00B7" w:rsidP="003E0C55">
            <w:pPr>
              <w:spacing w:after="0"/>
              <w:ind w:right="176"/>
              <w:jc w:val="both"/>
              <w:rPr>
                <w:rFonts w:cs="Arial"/>
                <w:sz w:val="24"/>
              </w:rPr>
            </w:pPr>
          </w:p>
          <w:p w:rsidR="00864A4D" w:rsidRPr="003E0C55" w:rsidRDefault="00864A4D" w:rsidP="003E0C55">
            <w:pPr>
              <w:spacing w:after="0"/>
              <w:ind w:right="176"/>
              <w:jc w:val="both"/>
              <w:rPr>
                <w:rFonts w:cs="Arial"/>
                <w:sz w:val="24"/>
              </w:rPr>
            </w:pPr>
          </w:p>
          <w:p w:rsidR="00864A4D" w:rsidRPr="003E0C55" w:rsidRDefault="00864A4D"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tc>
      </w:tr>
    </w:tbl>
    <w:p w:rsidR="0087304B" w:rsidRPr="003E0C55" w:rsidRDefault="0087304B" w:rsidP="003E0C55">
      <w:pPr>
        <w:spacing w:after="0"/>
        <w:jc w:val="both"/>
        <w:rPr>
          <w:rFonts w:cs="Arial"/>
          <w:b/>
          <w:sz w:val="24"/>
        </w:rPr>
      </w:pPr>
    </w:p>
    <w:p w:rsidR="00CE6933" w:rsidRPr="003E0C55" w:rsidRDefault="00CE6933" w:rsidP="003E0C55">
      <w:pPr>
        <w:spacing w:after="0"/>
        <w:jc w:val="both"/>
        <w:rPr>
          <w:rFonts w:cs="Arial"/>
          <w:sz w:val="24"/>
        </w:rPr>
      </w:pPr>
      <w:r w:rsidRPr="003E0C55">
        <w:rPr>
          <w:rFonts w:cs="Arial"/>
          <w:sz w:val="24"/>
        </w:rPr>
        <w:br w:type="page"/>
      </w:r>
    </w:p>
    <w:p w:rsidR="0087304B" w:rsidRPr="003E0C55" w:rsidRDefault="002742AD" w:rsidP="003E0C55">
      <w:pPr>
        <w:spacing w:after="0"/>
        <w:jc w:val="both"/>
        <w:rPr>
          <w:rFonts w:cs="Arial"/>
          <w:b/>
          <w:sz w:val="24"/>
        </w:rPr>
      </w:pPr>
      <w:hyperlink w:anchor="five" w:history="1">
        <w:r w:rsidR="0087304B" w:rsidRPr="003E0C55">
          <w:rPr>
            <w:rFonts w:cs="Arial"/>
            <w:b/>
            <w:sz w:val="24"/>
          </w:rPr>
          <w:t>(6)</w:t>
        </w:r>
      </w:hyperlink>
      <w:r w:rsidR="0087304B" w:rsidRPr="003E0C55">
        <w:rPr>
          <w:rFonts w:cs="Arial"/>
          <w:b/>
          <w:sz w:val="24"/>
        </w:rPr>
        <w:tab/>
        <w:t>MONITORING</w:t>
      </w:r>
    </w:p>
    <w:p w:rsidR="0087304B" w:rsidRPr="003E0C55" w:rsidRDefault="0087304B" w:rsidP="003E0C55">
      <w:pPr>
        <w:spacing w:after="0"/>
        <w:jc w:val="both"/>
        <w:rPr>
          <w:rFonts w:cs="Arial"/>
          <w:b/>
          <w:sz w:val="24"/>
        </w:rPr>
      </w:pPr>
    </w:p>
    <w:p w:rsidR="0087304B" w:rsidRPr="003E0C55" w:rsidRDefault="0087304B" w:rsidP="003E0C55">
      <w:pPr>
        <w:spacing w:after="0"/>
        <w:ind w:left="700" w:hanging="700"/>
        <w:jc w:val="both"/>
        <w:rPr>
          <w:rFonts w:cs="Arial"/>
          <w:b/>
          <w:sz w:val="24"/>
        </w:rPr>
      </w:pPr>
      <w:r w:rsidRPr="003E0C55">
        <w:rPr>
          <w:rFonts w:cs="Arial"/>
          <w:b/>
          <w:sz w:val="24"/>
        </w:rPr>
        <w:t>6.1</w:t>
      </w:r>
      <w:r w:rsidRPr="003E0C55">
        <w:rPr>
          <w:rFonts w:cs="Arial"/>
          <w:b/>
          <w:sz w:val="24"/>
        </w:rPr>
        <w:tab/>
        <w:t>What data will you collect in the future in order to monitor the effect of the policy or decision on any of the categories (for equality of opportunity and good relations, disability duties and human rights)?</w:t>
      </w: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3125"/>
        <w:gridCol w:w="2984"/>
      </w:tblGrid>
      <w:tr w:rsidR="009E5D41" w:rsidRPr="003E0C55" w:rsidTr="005B51AF">
        <w:tc>
          <w:tcPr>
            <w:tcW w:w="3133" w:type="dxa"/>
            <w:shd w:val="clear" w:color="auto" w:fill="B3B3B3"/>
          </w:tcPr>
          <w:p w:rsidR="0087304B" w:rsidRPr="003E0C55" w:rsidRDefault="0087304B" w:rsidP="003E0C55">
            <w:pPr>
              <w:spacing w:after="0"/>
              <w:jc w:val="both"/>
              <w:rPr>
                <w:rFonts w:cs="Arial"/>
                <w:b/>
                <w:sz w:val="24"/>
              </w:rPr>
            </w:pPr>
            <w:r w:rsidRPr="003E0C55">
              <w:rPr>
                <w:rFonts w:cs="Arial"/>
                <w:b/>
                <w:sz w:val="24"/>
              </w:rPr>
              <w:t>Equality &amp; Good Relations</w:t>
            </w:r>
          </w:p>
        </w:tc>
        <w:tc>
          <w:tcPr>
            <w:tcW w:w="3125" w:type="dxa"/>
            <w:shd w:val="clear" w:color="auto" w:fill="B3B3B3"/>
          </w:tcPr>
          <w:p w:rsidR="0087304B" w:rsidRPr="003E0C55" w:rsidRDefault="0087304B" w:rsidP="003E0C55">
            <w:pPr>
              <w:spacing w:after="0"/>
              <w:jc w:val="both"/>
              <w:rPr>
                <w:rFonts w:cs="Arial"/>
                <w:b/>
                <w:sz w:val="24"/>
              </w:rPr>
            </w:pPr>
            <w:r w:rsidRPr="003E0C55">
              <w:rPr>
                <w:rFonts w:cs="Arial"/>
                <w:b/>
                <w:sz w:val="24"/>
              </w:rPr>
              <w:t>Disability Duties</w:t>
            </w:r>
          </w:p>
        </w:tc>
        <w:tc>
          <w:tcPr>
            <w:tcW w:w="2984" w:type="dxa"/>
            <w:shd w:val="clear" w:color="auto" w:fill="B3B3B3"/>
          </w:tcPr>
          <w:p w:rsidR="0087304B" w:rsidRPr="003E0C55" w:rsidRDefault="0087304B" w:rsidP="003E0C55">
            <w:pPr>
              <w:spacing w:after="0"/>
              <w:jc w:val="both"/>
              <w:rPr>
                <w:rFonts w:cs="Arial"/>
                <w:b/>
                <w:sz w:val="24"/>
              </w:rPr>
            </w:pPr>
            <w:r w:rsidRPr="003E0C55">
              <w:rPr>
                <w:rFonts w:cs="Arial"/>
                <w:b/>
                <w:sz w:val="24"/>
              </w:rPr>
              <w:t>Human Rights</w:t>
            </w:r>
          </w:p>
        </w:tc>
      </w:tr>
      <w:tr w:rsidR="005B51AF" w:rsidRPr="003E0C55" w:rsidTr="005B51AF">
        <w:tc>
          <w:tcPr>
            <w:tcW w:w="3133" w:type="dxa"/>
          </w:tcPr>
          <w:p w:rsidR="00785C08" w:rsidRDefault="00785C08" w:rsidP="003E0C55">
            <w:pPr>
              <w:spacing w:after="0"/>
              <w:jc w:val="both"/>
              <w:rPr>
                <w:rFonts w:eastAsiaTheme="minorHAnsi" w:cs="Arial"/>
                <w:sz w:val="24"/>
              </w:rPr>
            </w:pPr>
          </w:p>
          <w:p w:rsidR="00D37D91" w:rsidRPr="003E0C55" w:rsidRDefault="00D37D91" w:rsidP="003E0C55">
            <w:pPr>
              <w:spacing w:after="0"/>
              <w:jc w:val="both"/>
              <w:rPr>
                <w:rFonts w:cs="Arial"/>
                <w:sz w:val="24"/>
              </w:rPr>
            </w:pPr>
          </w:p>
        </w:tc>
        <w:tc>
          <w:tcPr>
            <w:tcW w:w="3125" w:type="dxa"/>
          </w:tcPr>
          <w:p w:rsidR="005B51AF" w:rsidRDefault="005B51AF" w:rsidP="003E0C55">
            <w:pPr>
              <w:spacing w:after="0"/>
              <w:jc w:val="both"/>
              <w:rPr>
                <w:rFonts w:eastAsiaTheme="minorHAnsi" w:cs="Arial"/>
                <w:sz w:val="24"/>
              </w:rPr>
            </w:pPr>
          </w:p>
          <w:p w:rsidR="00D37D91" w:rsidRPr="003E0C55" w:rsidRDefault="00D37D91" w:rsidP="003E0C55">
            <w:pPr>
              <w:spacing w:after="0"/>
              <w:jc w:val="both"/>
              <w:rPr>
                <w:rFonts w:cs="Arial"/>
                <w:sz w:val="24"/>
              </w:rPr>
            </w:pPr>
          </w:p>
        </w:tc>
        <w:tc>
          <w:tcPr>
            <w:tcW w:w="2984" w:type="dxa"/>
          </w:tcPr>
          <w:p w:rsidR="00785C08" w:rsidRDefault="00785C08" w:rsidP="003E0C55">
            <w:pPr>
              <w:spacing w:after="0"/>
              <w:jc w:val="both"/>
              <w:rPr>
                <w:rFonts w:eastAsiaTheme="minorHAnsi" w:cs="Arial"/>
                <w:sz w:val="24"/>
              </w:rPr>
            </w:pPr>
          </w:p>
          <w:p w:rsidR="00D37D91" w:rsidRPr="003E0C55" w:rsidRDefault="00D37D91" w:rsidP="003E0C55">
            <w:pPr>
              <w:spacing w:after="0"/>
              <w:jc w:val="both"/>
              <w:rPr>
                <w:rFonts w:cs="Arial"/>
                <w:sz w:val="24"/>
              </w:rPr>
            </w:pPr>
          </w:p>
        </w:tc>
      </w:tr>
    </w:tbl>
    <w:p w:rsidR="0087304B" w:rsidRPr="003E0C55" w:rsidRDefault="0087304B" w:rsidP="003E0C55">
      <w:pPr>
        <w:spacing w:after="0"/>
        <w:jc w:val="both"/>
        <w:rPr>
          <w:rFonts w:cs="Arial"/>
          <w:sz w:val="24"/>
        </w:rPr>
      </w:pPr>
    </w:p>
    <w:tbl>
      <w:tblPr>
        <w:tblW w:w="0" w:type="auto"/>
        <w:tblLook w:val="00A0" w:firstRow="1" w:lastRow="0" w:firstColumn="1" w:lastColumn="0" w:noHBand="0" w:noVBand="0"/>
      </w:tblPr>
      <w:tblGrid>
        <w:gridCol w:w="4168"/>
        <w:gridCol w:w="5074"/>
      </w:tblGrid>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Approved Lead Officer:</w:t>
            </w:r>
          </w:p>
        </w:tc>
        <w:tc>
          <w:tcPr>
            <w:tcW w:w="5074" w:type="dxa"/>
            <w:tcBorders>
              <w:bottom w:val="single" w:sz="4" w:space="0" w:color="auto"/>
            </w:tcBorders>
          </w:tcPr>
          <w:p w:rsidR="0087304B" w:rsidRPr="003E0C55" w:rsidRDefault="00B77A85" w:rsidP="003E0C55">
            <w:pPr>
              <w:spacing w:after="0"/>
              <w:jc w:val="both"/>
              <w:rPr>
                <w:rFonts w:cs="Arial"/>
                <w:sz w:val="24"/>
                <w:u w:val="single"/>
              </w:rPr>
            </w:pPr>
            <w:r>
              <w:rPr>
                <w:rFonts w:cs="Arial"/>
                <w:sz w:val="24"/>
                <w:u w:val="single"/>
              </w:rPr>
              <w:t>Helen McKenzie</w:t>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Position:</w:t>
            </w:r>
          </w:p>
        </w:tc>
        <w:tc>
          <w:tcPr>
            <w:tcW w:w="5074" w:type="dxa"/>
            <w:tcBorders>
              <w:bottom w:val="single" w:sz="4" w:space="0" w:color="auto"/>
            </w:tcBorders>
          </w:tcPr>
          <w:p w:rsidR="0087304B" w:rsidRPr="003E0C55" w:rsidRDefault="001F363D" w:rsidP="003E0C55">
            <w:pPr>
              <w:spacing w:after="0"/>
              <w:jc w:val="both"/>
              <w:rPr>
                <w:rFonts w:cs="Arial"/>
                <w:sz w:val="24"/>
              </w:rPr>
            </w:pPr>
            <w:r>
              <w:rPr>
                <w:rFonts w:cs="Arial"/>
                <w:sz w:val="24"/>
              </w:rPr>
              <w:t>SBNI Director of Operations</w:t>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Date:</w:t>
            </w:r>
          </w:p>
        </w:tc>
        <w:tc>
          <w:tcPr>
            <w:tcW w:w="5074" w:type="dxa"/>
            <w:tcBorders>
              <w:bottom w:val="single" w:sz="4" w:space="0" w:color="auto"/>
            </w:tcBorders>
          </w:tcPr>
          <w:p w:rsidR="0087304B" w:rsidRPr="003E0C55" w:rsidRDefault="002742AD" w:rsidP="003E0C55">
            <w:pPr>
              <w:spacing w:after="0"/>
              <w:jc w:val="both"/>
              <w:rPr>
                <w:rFonts w:cs="Arial"/>
                <w:sz w:val="24"/>
              </w:rPr>
            </w:pPr>
            <w:r>
              <w:rPr>
                <w:rFonts w:cs="Arial"/>
                <w:sz w:val="24"/>
              </w:rPr>
              <w:t>17 September</w:t>
            </w:r>
            <w:bookmarkStart w:id="0" w:name="_GoBack"/>
            <w:bookmarkEnd w:id="0"/>
            <w:r>
              <w:rPr>
                <w:rFonts w:cs="Arial"/>
                <w:sz w:val="24"/>
              </w:rPr>
              <w:t xml:space="preserve"> 2021</w:t>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Policy/Decision Screened by:</w:t>
            </w:r>
          </w:p>
        </w:tc>
        <w:tc>
          <w:tcPr>
            <w:tcW w:w="5074" w:type="dxa"/>
            <w:tcBorders>
              <w:bottom w:val="single" w:sz="4" w:space="0" w:color="auto"/>
            </w:tcBorders>
          </w:tcPr>
          <w:p w:rsidR="0087304B" w:rsidRPr="003E0C55" w:rsidRDefault="00123CE8" w:rsidP="00BF6E29">
            <w:pPr>
              <w:spacing w:after="0"/>
              <w:rPr>
                <w:rFonts w:cs="Arial"/>
                <w:sz w:val="24"/>
              </w:rPr>
            </w:pPr>
            <w:r>
              <w:rPr>
                <w:rFonts w:cs="Arial"/>
                <w:sz w:val="24"/>
              </w:rPr>
              <w:t>Paul McNeill SBNI Business Support Manager</w:t>
            </w:r>
          </w:p>
        </w:tc>
      </w:tr>
    </w:tbl>
    <w:p w:rsidR="0087304B" w:rsidRPr="003E0C55" w:rsidRDefault="0087304B" w:rsidP="003E0C55">
      <w:pPr>
        <w:spacing w:after="0"/>
        <w:jc w:val="both"/>
        <w:rPr>
          <w:rFonts w:cs="Arial"/>
          <w:sz w:val="24"/>
        </w:rPr>
      </w:pPr>
    </w:p>
    <w:p w:rsidR="00D37D91" w:rsidRDefault="00D37D91" w:rsidP="003E0C55">
      <w:pPr>
        <w:spacing w:after="600"/>
        <w:jc w:val="both"/>
        <w:rPr>
          <w:rFonts w:cs="Arial"/>
          <w:b/>
          <w:bCs/>
          <w:sz w:val="24"/>
        </w:rPr>
      </w:pPr>
    </w:p>
    <w:p w:rsidR="0087304B" w:rsidRPr="003E0C55" w:rsidRDefault="0087304B" w:rsidP="003E0C55">
      <w:pPr>
        <w:spacing w:after="600"/>
        <w:jc w:val="both"/>
        <w:rPr>
          <w:rFonts w:cs="Arial"/>
          <w:b/>
          <w:bCs/>
          <w:sz w:val="24"/>
        </w:rPr>
      </w:pPr>
      <w:r w:rsidRPr="003E0C55">
        <w:rPr>
          <w:rFonts w:cs="Arial"/>
          <w:b/>
          <w:bCs/>
          <w:sz w:val="24"/>
        </w:rPr>
        <w:t>Please note that having completed the screening you are required by statute to publish the completed screening template, as per your organisation’s equality scheme. If a consultee, including the Equality Commission, raises a concern about a screening decision based on supporting evidence, you will need to review the screening decision.</w:t>
      </w:r>
    </w:p>
    <w:p w:rsidR="0087304B" w:rsidRPr="003E0C55" w:rsidRDefault="0087304B" w:rsidP="003E0C55">
      <w:pPr>
        <w:spacing w:after="0"/>
        <w:jc w:val="both"/>
        <w:rPr>
          <w:rFonts w:cs="Arial"/>
          <w:b/>
          <w:bCs/>
          <w:sz w:val="24"/>
        </w:rPr>
      </w:pPr>
      <w:r w:rsidRPr="003E0C55">
        <w:rPr>
          <w:rFonts w:cs="Arial"/>
          <w:b/>
          <w:bCs/>
          <w:sz w:val="24"/>
        </w:rPr>
        <w:t>Please forward completed template to:</w:t>
      </w:r>
    </w:p>
    <w:p w:rsidR="0087304B" w:rsidRPr="003E0C55" w:rsidRDefault="0087304B" w:rsidP="003E0C55">
      <w:pPr>
        <w:spacing w:after="600"/>
        <w:jc w:val="both"/>
        <w:rPr>
          <w:rFonts w:cs="Arial"/>
          <w:b/>
          <w:bCs/>
          <w:sz w:val="24"/>
        </w:rPr>
      </w:pPr>
      <w:r w:rsidRPr="003E0C55">
        <w:rPr>
          <w:rFonts w:cs="Arial"/>
          <w:b/>
          <w:bCs/>
          <w:sz w:val="24"/>
        </w:rPr>
        <w:t>Equality.Unit@hscni.net</w:t>
      </w:r>
    </w:p>
    <w:p w:rsidR="0087304B" w:rsidRPr="003E0C55" w:rsidRDefault="0087304B" w:rsidP="003E0C55">
      <w:pPr>
        <w:spacing w:after="0"/>
        <w:jc w:val="both"/>
        <w:rPr>
          <w:rFonts w:cs="Arial"/>
          <w:b/>
          <w:sz w:val="24"/>
        </w:rPr>
      </w:pPr>
      <w:r w:rsidRPr="003E0C55">
        <w:rPr>
          <w:rFonts w:cs="Arial"/>
          <w:b/>
          <w:sz w:val="24"/>
        </w:rPr>
        <w:t>Template produced June 2011</w:t>
      </w:r>
    </w:p>
    <w:p w:rsidR="0087304B" w:rsidRPr="003E0C55" w:rsidRDefault="0087304B" w:rsidP="003E0C55">
      <w:pPr>
        <w:jc w:val="both"/>
        <w:rPr>
          <w:rFonts w:cs="Arial"/>
          <w:b/>
          <w:sz w:val="24"/>
        </w:rPr>
      </w:pPr>
      <w:r w:rsidRPr="003E0C55">
        <w:rPr>
          <w:rFonts w:cs="Arial"/>
          <w:sz w:val="24"/>
        </w:rPr>
        <w:t>If you require this document in an alternative format (such as large print, Braille, disk, audio file, audio cassette, Easy Read or in minority languages to meet the needs of those not fluent in English) please contact the Business Services Organisation’s Equality Unit:</w:t>
      </w:r>
    </w:p>
    <w:p w:rsidR="008654BE" w:rsidRPr="003E0C55" w:rsidRDefault="0087304B" w:rsidP="003E0C55">
      <w:pPr>
        <w:spacing w:after="0"/>
        <w:jc w:val="both"/>
        <w:rPr>
          <w:rFonts w:cs="Arial"/>
          <w:b/>
          <w:sz w:val="24"/>
          <w:lang w:val="fr-FR"/>
        </w:rPr>
      </w:pPr>
      <w:r w:rsidRPr="003E0C55">
        <w:rPr>
          <w:rFonts w:cs="Arial"/>
          <w:sz w:val="24"/>
        </w:rPr>
        <w:t xml:space="preserve">2 Franklin Street; Belfast; BT2 8DQ; email: </w:t>
      </w:r>
      <w:hyperlink r:id="rId16" w:tooltip="mailto:Equality.Unit@hscni.net" w:history="1">
        <w:r w:rsidRPr="003E0C55">
          <w:rPr>
            <w:rFonts w:cs="Arial"/>
            <w:sz w:val="24"/>
          </w:rPr>
          <w:t>Equality.Unit@hscni.net</w:t>
        </w:r>
      </w:hyperlink>
      <w:r w:rsidRPr="003E0C55">
        <w:rPr>
          <w:rFonts w:cs="Arial"/>
          <w:sz w:val="24"/>
        </w:rPr>
        <w:t>; phone: 028 90535531 (for Text Relay prefix with 18001); fax: 028 9023 2304</w:t>
      </w:r>
    </w:p>
    <w:sectPr w:rsidR="008654BE" w:rsidRPr="003E0C55" w:rsidSect="00A84DAC">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4E" w:rsidRDefault="00E81E4E" w:rsidP="00537B98">
      <w:pPr>
        <w:spacing w:after="0"/>
      </w:pPr>
      <w:r>
        <w:separator/>
      </w:r>
    </w:p>
  </w:endnote>
  <w:endnote w:type="continuationSeparator" w:id="0">
    <w:p w:rsidR="00E81E4E" w:rsidRDefault="00E81E4E" w:rsidP="0053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4E" w:rsidRDefault="00E81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E4E" w:rsidRDefault="00E81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4E" w:rsidRPr="007F6C17" w:rsidRDefault="00E81E4E">
    <w:pPr>
      <w:pStyle w:val="Footer"/>
      <w:pBdr>
        <w:top w:val="thinThickSmallGap" w:sz="24" w:space="1" w:color="622423" w:themeColor="accent2" w:themeShade="7F"/>
      </w:pBdr>
      <w:rPr>
        <w:rFonts w:eastAsiaTheme="majorEastAsia" w:cs="Arial"/>
        <w:sz w:val="20"/>
        <w:szCs w:val="20"/>
      </w:rPr>
    </w:pPr>
    <w:r w:rsidRPr="00C23886">
      <w:rPr>
        <w:rFonts w:eastAsiaTheme="majorEastAsia" w:cs="Arial"/>
        <w:sz w:val="20"/>
        <w:szCs w:val="20"/>
      </w:rPr>
      <w:t>SBNI Engagement Strategy 2</w:t>
    </w:r>
    <w:r w:rsidR="00B77A85">
      <w:rPr>
        <w:rFonts w:eastAsiaTheme="majorEastAsia" w:cs="Arial"/>
        <w:sz w:val="20"/>
        <w:szCs w:val="20"/>
      </w:rPr>
      <w:t>021-2023 Equality Screening Final 1.0</w:t>
    </w:r>
    <w:r w:rsidRPr="007F6C17">
      <w:rPr>
        <w:rFonts w:eastAsiaTheme="majorEastAsia" w:cs="Arial"/>
        <w:sz w:val="20"/>
        <w:szCs w:val="20"/>
      </w:rPr>
      <w:ptab w:relativeTo="margin" w:alignment="right" w:leader="none"/>
    </w:r>
    <w:r w:rsidRPr="007F6C17">
      <w:rPr>
        <w:rFonts w:eastAsiaTheme="majorEastAsia" w:cs="Arial"/>
        <w:sz w:val="20"/>
        <w:szCs w:val="20"/>
      </w:rPr>
      <w:t xml:space="preserve">Page </w:t>
    </w:r>
    <w:r w:rsidRPr="007F6C17">
      <w:rPr>
        <w:rFonts w:eastAsiaTheme="minorEastAsia" w:cs="Arial"/>
        <w:sz w:val="20"/>
        <w:szCs w:val="20"/>
      </w:rPr>
      <w:fldChar w:fldCharType="begin"/>
    </w:r>
    <w:r w:rsidRPr="007F6C17">
      <w:rPr>
        <w:rFonts w:cs="Arial"/>
        <w:sz w:val="20"/>
        <w:szCs w:val="20"/>
      </w:rPr>
      <w:instrText xml:space="preserve"> PAGE   \* MERGEFORMAT </w:instrText>
    </w:r>
    <w:r w:rsidRPr="007F6C17">
      <w:rPr>
        <w:rFonts w:eastAsiaTheme="minorEastAsia" w:cs="Arial"/>
        <w:sz w:val="20"/>
        <w:szCs w:val="20"/>
      </w:rPr>
      <w:fldChar w:fldCharType="separate"/>
    </w:r>
    <w:r w:rsidR="002742AD" w:rsidRPr="002742AD">
      <w:rPr>
        <w:rFonts w:eastAsiaTheme="majorEastAsia" w:cs="Arial"/>
        <w:noProof/>
        <w:sz w:val="20"/>
        <w:szCs w:val="20"/>
      </w:rPr>
      <w:t>1</w:t>
    </w:r>
    <w:r w:rsidRPr="007F6C17">
      <w:rPr>
        <w:rFonts w:eastAsiaTheme="majorEastAsia" w:cs="Arial"/>
        <w:noProof/>
        <w:sz w:val="20"/>
        <w:szCs w:val="20"/>
      </w:rPr>
      <w:fldChar w:fldCharType="end"/>
    </w:r>
  </w:p>
  <w:p w:rsidR="00E81E4E" w:rsidRPr="007F6C17" w:rsidRDefault="00E81E4E" w:rsidP="000A2357">
    <w:pPr>
      <w:pStyle w:val="Footer"/>
      <w:rPr>
        <w:rFonts w:cs="Arial"/>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4E" w:rsidRDefault="00E81E4E" w:rsidP="002C7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E4E" w:rsidRDefault="00E81E4E" w:rsidP="002C71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4E" w:rsidRPr="00D37D91" w:rsidRDefault="00E81E4E">
    <w:pPr>
      <w:pStyle w:val="Footer"/>
      <w:pBdr>
        <w:top w:val="thinThickSmallGap" w:sz="24" w:space="1" w:color="622423" w:themeColor="accent2" w:themeShade="7F"/>
      </w:pBdr>
      <w:rPr>
        <w:rFonts w:eastAsiaTheme="majorEastAsia" w:cs="Arial"/>
        <w:sz w:val="16"/>
        <w:szCs w:val="16"/>
      </w:rPr>
    </w:pPr>
    <w:r w:rsidRPr="00D37D91">
      <w:rPr>
        <w:rFonts w:eastAsiaTheme="majorEastAsia" w:cs="Arial"/>
        <w:sz w:val="16"/>
        <w:szCs w:val="16"/>
      </w:rPr>
      <w:t>SBNI</w:t>
    </w:r>
    <w:r>
      <w:rPr>
        <w:rFonts w:eastAsiaTheme="majorEastAsia" w:cs="Arial"/>
        <w:sz w:val="16"/>
        <w:szCs w:val="16"/>
      </w:rPr>
      <w:t xml:space="preserve"> Engagement Strategy 2021-2023</w:t>
    </w:r>
    <w:r w:rsidRPr="00D37D91">
      <w:rPr>
        <w:rFonts w:eastAsiaTheme="majorEastAsia" w:cs="Arial"/>
        <w:sz w:val="16"/>
        <w:szCs w:val="16"/>
      </w:rPr>
      <w:t xml:space="preserve"> E</w:t>
    </w:r>
    <w:r>
      <w:rPr>
        <w:rFonts w:eastAsiaTheme="majorEastAsia" w:cs="Arial"/>
        <w:sz w:val="16"/>
        <w:szCs w:val="16"/>
      </w:rPr>
      <w:t>quality Screening v0.3</w:t>
    </w:r>
  </w:p>
  <w:p w:rsidR="00E81E4E" w:rsidRPr="000A2357" w:rsidRDefault="00E81E4E" w:rsidP="000A2357">
    <w:pPr>
      <w:pStyle w:val="Footer"/>
      <w:tabs>
        <w:tab w:val="clear" w:pos="4153"/>
        <w:tab w:val="clear" w:pos="8306"/>
        <w:tab w:val="left" w:pos="2310"/>
      </w:tabs>
      <w:ind w:right="360"/>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4E" w:rsidRDefault="00E81E4E" w:rsidP="00537B98">
      <w:pPr>
        <w:spacing w:after="0"/>
      </w:pPr>
      <w:r>
        <w:separator/>
      </w:r>
    </w:p>
  </w:footnote>
  <w:footnote w:type="continuationSeparator" w:id="0">
    <w:p w:rsidR="00E81E4E" w:rsidRDefault="00E81E4E" w:rsidP="00537B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4E" w:rsidRDefault="00E81E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E7"/>
    <w:multiLevelType w:val="hybridMultilevel"/>
    <w:tmpl w:val="274C167E"/>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B3573"/>
    <w:multiLevelType w:val="hybridMultilevel"/>
    <w:tmpl w:val="9A3209F2"/>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65D0D"/>
    <w:multiLevelType w:val="multilevel"/>
    <w:tmpl w:val="09E018D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903DE4"/>
    <w:multiLevelType w:val="multilevel"/>
    <w:tmpl w:val="4DB0E7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8D5C3F"/>
    <w:multiLevelType w:val="hybridMultilevel"/>
    <w:tmpl w:val="70B8D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793218"/>
    <w:multiLevelType w:val="hybridMultilevel"/>
    <w:tmpl w:val="0234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14139"/>
    <w:multiLevelType w:val="hybridMultilevel"/>
    <w:tmpl w:val="B17C8440"/>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46776"/>
    <w:multiLevelType w:val="hybridMultilevel"/>
    <w:tmpl w:val="EF1A786A"/>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43FA6"/>
    <w:multiLevelType w:val="hybridMultilevel"/>
    <w:tmpl w:val="594E5B84"/>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2A5B6E"/>
    <w:multiLevelType w:val="hybridMultilevel"/>
    <w:tmpl w:val="C3E6DC34"/>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71B3A"/>
    <w:multiLevelType w:val="hybridMultilevel"/>
    <w:tmpl w:val="7DB4DC32"/>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C30B2"/>
    <w:multiLevelType w:val="hybridMultilevel"/>
    <w:tmpl w:val="51F8257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E1718"/>
    <w:multiLevelType w:val="hybridMultilevel"/>
    <w:tmpl w:val="6F7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C4E66"/>
    <w:multiLevelType w:val="hybridMultilevel"/>
    <w:tmpl w:val="B51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1071B"/>
    <w:multiLevelType w:val="hybridMultilevel"/>
    <w:tmpl w:val="830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22641"/>
    <w:multiLevelType w:val="hybridMultilevel"/>
    <w:tmpl w:val="82DA51AC"/>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43574C"/>
    <w:multiLevelType w:val="hybridMultilevel"/>
    <w:tmpl w:val="785E418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E60504"/>
    <w:multiLevelType w:val="hybridMultilevel"/>
    <w:tmpl w:val="27987EF4"/>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16"/>
  </w:num>
  <w:num w:numId="6">
    <w:abstractNumId w:val="14"/>
  </w:num>
  <w:num w:numId="7">
    <w:abstractNumId w:val="12"/>
  </w:num>
  <w:num w:numId="8">
    <w:abstractNumId w:val="6"/>
  </w:num>
  <w:num w:numId="9">
    <w:abstractNumId w:val="9"/>
  </w:num>
  <w:num w:numId="10">
    <w:abstractNumId w:val="15"/>
  </w:num>
  <w:num w:numId="11">
    <w:abstractNumId w:val="7"/>
  </w:num>
  <w:num w:numId="12">
    <w:abstractNumId w:val="8"/>
  </w:num>
  <w:num w:numId="13">
    <w:abstractNumId w:val="10"/>
  </w:num>
  <w:num w:numId="14">
    <w:abstractNumId w:val="1"/>
  </w:num>
  <w:num w:numId="15">
    <w:abstractNumId w:val="17"/>
  </w:num>
  <w:num w:numId="16">
    <w:abstractNumId w:val="13"/>
  </w:num>
  <w:num w:numId="17">
    <w:abstractNumId w:val="5"/>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4B"/>
    <w:rsid w:val="00002087"/>
    <w:rsid w:val="00017010"/>
    <w:rsid w:val="00020396"/>
    <w:rsid w:val="0002547C"/>
    <w:rsid w:val="00053781"/>
    <w:rsid w:val="000569B5"/>
    <w:rsid w:val="00056A09"/>
    <w:rsid w:val="0007232F"/>
    <w:rsid w:val="0007364C"/>
    <w:rsid w:val="00076FC7"/>
    <w:rsid w:val="00077235"/>
    <w:rsid w:val="00090CA8"/>
    <w:rsid w:val="00092EC2"/>
    <w:rsid w:val="00096DD4"/>
    <w:rsid w:val="0009722A"/>
    <w:rsid w:val="000A11AE"/>
    <w:rsid w:val="000A14FB"/>
    <w:rsid w:val="000A1878"/>
    <w:rsid w:val="000A2357"/>
    <w:rsid w:val="000A2648"/>
    <w:rsid w:val="000A4E04"/>
    <w:rsid w:val="000C490F"/>
    <w:rsid w:val="000C55F3"/>
    <w:rsid w:val="000D0C7B"/>
    <w:rsid w:val="000E4622"/>
    <w:rsid w:val="000F363F"/>
    <w:rsid w:val="000F7E80"/>
    <w:rsid w:val="00117C88"/>
    <w:rsid w:val="001239D0"/>
    <w:rsid w:val="00123CE8"/>
    <w:rsid w:val="00127E34"/>
    <w:rsid w:val="001332C2"/>
    <w:rsid w:val="00140D6A"/>
    <w:rsid w:val="00140F5C"/>
    <w:rsid w:val="00153EC6"/>
    <w:rsid w:val="00154414"/>
    <w:rsid w:val="00155381"/>
    <w:rsid w:val="0016532D"/>
    <w:rsid w:val="00167DAB"/>
    <w:rsid w:val="001815FB"/>
    <w:rsid w:val="0019197A"/>
    <w:rsid w:val="00194827"/>
    <w:rsid w:val="001A18B6"/>
    <w:rsid w:val="001A41F1"/>
    <w:rsid w:val="001D485D"/>
    <w:rsid w:val="001E077B"/>
    <w:rsid w:val="001E081B"/>
    <w:rsid w:val="001E14E9"/>
    <w:rsid w:val="001E5D1B"/>
    <w:rsid w:val="001E662F"/>
    <w:rsid w:val="001E69B7"/>
    <w:rsid w:val="001E7EEB"/>
    <w:rsid w:val="001F1944"/>
    <w:rsid w:val="001F2C62"/>
    <w:rsid w:val="001F363D"/>
    <w:rsid w:val="001F6479"/>
    <w:rsid w:val="001F6F7F"/>
    <w:rsid w:val="00215421"/>
    <w:rsid w:val="00217352"/>
    <w:rsid w:val="00222D14"/>
    <w:rsid w:val="002231A5"/>
    <w:rsid w:val="00223397"/>
    <w:rsid w:val="00242FFE"/>
    <w:rsid w:val="00261D2B"/>
    <w:rsid w:val="00266683"/>
    <w:rsid w:val="00270D36"/>
    <w:rsid w:val="002725AE"/>
    <w:rsid w:val="002742AD"/>
    <w:rsid w:val="00285234"/>
    <w:rsid w:val="002857AE"/>
    <w:rsid w:val="002907EC"/>
    <w:rsid w:val="00292C1B"/>
    <w:rsid w:val="0029659C"/>
    <w:rsid w:val="002B203A"/>
    <w:rsid w:val="002B51F9"/>
    <w:rsid w:val="002B5874"/>
    <w:rsid w:val="002C715A"/>
    <w:rsid w:val="002D0A76"/>
    <w:rsid w:val="002D11F2"/>
    <w:rsid w:val="002E0DC0"/>
    <w:rsid w:val="002E1356"/>
    <w:rsid w:val="002E42AA"/>
    <w:rsid w:val="002F0729"/>
    <w:rsid w:val="002F70DE"/>
    <w:rsid w:val="00302739"/>
    <w:rsid w:val="00304739"/>
    <w:rsid w:val="00315F2E"/>
    <w:rsid w:val="00323F2E"/>
    <w:rsid w:val="0032532B"/>
    <w:rsid w:val="0034022E"/>
    <w:rsid w:val="00351344"/>
    <w:rsid w:val="00360928"/>
    <w:rsid w:val="0036142F"/>
    <w:rsid w:val="0036747E"/>
    <w:rsid w:val="0037017C"/>
    <w:rsid w:val="00370414"/>
    <w:rsid w:val="00380200"/>
    <w:rsid w:val="00382B52"/>
    <w:rsid w:val="003841A8"/>
    <w:rsid w:val="00386987"/>
    <w:rsid w:val="00395295"/>
    <w:rsid w:val="003A1330"/>
    <w:rsid w:val="003A371C"/>
    <w:rsid w:val="003A6059"/>
    <w:rsid w:val="003A77EA"/>
    <w:rsid w:val="003B0260"/>
    <w:rsid w:val="003B038D"/>
    <w:rsid w:val="003B141C"/>
    <w:rsid w:val="003B6E29"/>
    <w:rsid w:val="003B799B"/>
    <w:rsid w:val="003C00B7"/>
    <w:rsid w:val="003C490E"/>
    <w:rsid w:val="003C678A"/>
    <w:rsid w:val="003C6D2A"/>
    <w:rsid w:val="003E0C55"/>
    <w:rsid w:val="003E0E82"/>
    <w:rsid w:val="003E1256"/>
    <w:rsid w:val="003E325B"/>
    <w:rsid w:val="003E508F"/>
    <w:rsid w:val="003E7486"/>
    <w:rsid w:val="003E7F72"/>
    <w:rsid w:val="003F73B3"/>
    <w:rsid w:val="003F7FF6"/>
    <w:rsid w:val="004055AF"/>
    <w:rsid w:val="00405C62"/>
    <w:rsid w:val="00413830"/>
    <w:rsid w:val="004138DA"/>
    <w:rsid w:val="004153DD"/>
    <w:rsid w:val="0042174E"/>
    <w:rsid w:val="004264D5"/>
    <w:rsid w:val="004310B7"/>
    <w:rsid w:val="00435138"/>
    <w:rsid w:val="004442AC"/>
    <w:rsid w:val="00451636"/>
    <w:rsid w:val="00452505"/>
    <w:rsid w:val="0045253B"/>
    <w:rsid w:val="00452BE7"/>
    <w:rsid w:val="00455E98"/>
    <w:rsid w:val="004576A2"/>
    <w:rsid w:val="00461170"/>
    <w:rsid w:val="00464C9C"/>
    <w:rsid w:val="00470933"/>
    <w:rsid w:val="00471AEF"/>
    <w:rsid w:val="00482FCF"/>
    <w:rsid w:val="00485F01"/>
    <w:rsid w:val="00490BA7"/>
    <w:rsid w:val="00494889"/>
    <w:rsid w:val="00497C1F"/>
    <w:rsid w:val="004A6088"/>
    <w:rsid w:val="004A778D"/>
    <w:rsid w:val="004A7962"/>
    <w:rsid w:val="004B651B"/>
    <w:rsid w:val="004E21B4"/>
    <w:rsid w:val="004E690D"/>
    <w:rsid w:val="004F51DC"/>
    <w:rsid w:val="004F624B"/>
    <w:rsid w:val="00507E26"/>
    <w:rsid w:val="00511667"/>
    <w:rsid w:val="005121F8"/>
    <w:rsid w:val="00525AFF"/>
    <w:rsid w:val="00537B98"/>
    <w:rsid w:val="00542E7F"/>
    <w:rsid w:val="005520F6"/>
    <w:rsid w:val="00552EC1"/>
    <w:rsid w:val="0055305B"/>
    <w:rsid w:val="00572E93"/>
    <w:rsid w:val="005740F8"/>
    <w:rsid w:val="00584C57"/>
    <w:rsid w:val="00587D73"/>
    <w:rsid w:val="0059110A"/>
    <w:rsid w:val="0059638F"/>
    <w:rsid w:val="005B51AF"/>
    <w:rsid w:val="005B6BDA"/>
    <w:rsid w:val="005C3AF7"/>
    <w:rsid w:val="005D2F66"/>
    <w:rsid w:val="005E0187"/>
    <w:rsid w:val="005F1429"/>
    <w:rsid w:val="005F5E1B"/>
    <w:rsid w:val="006002D1"/>
    <w:rsid w:val="0060613C"/>
    <w:rsid w:val="00610C33"/>
    <w:rsid w:val="006161B1"/>
    <w:rsid w:val="00633FD6"/>
    <w:rsid w:val="0063617E"/>
    <w:rsid w:val="00636196"/>
    <w:rsid w:val="00641B03"/>
    <w:rsid w:val="006443F1"/>
    <w:rsid w:val="0065403A"/>
    <w:rsid w:val="0065510B"/>
    <w:rsid w:val="00666056"/>
    <w:rsid w:val="00666948"/>
    <w:rsid w:val="00670526"/>
    <w:rsid w:val="0067076F"/>
    <w:rsid w:val="00671CA0"/>
    <w:rsid w:val="00675F1D"/>
    <w:rsid w:val="0068018F"/>
    <w:rsid w:val="00690BEA"/>
    <w:rsid w:val="00693D8A"/>
    <w:rsid w:val="00694182"/>
    <w:rsid w:val="006B31CD"/>
    <w:rsid w:val="006C12CC"/>
    <w:rsid w:val="006C51F2"/>
    <w:rsid w:val="006D078A"/>
    <w:rsid w:val="006E30E5"/>
    <w:rsid w:val="006E7B31"/>
    <w:rsid w:val="006F0855"/>
    <w:rsid w:val="006F24C2"/>
    <w:rsid w:val="006F43E1"/>
    <w:rsid w:val="006F4AE3"/>
    <w:rsid w:val="0070641B"/>
    <w:rsid w:val="00710EEB"/>
    <w:rsid w:val="00716D6F"/>
    <w:rsid w:val="00724461"/>
    <w:rsid w:val="00732580"/>
    <w:rsid w:val="00740E16"/>
    <w:rsid w:val="0075003A"/>
    <w:rsid w:val="0075676E"/>
    <w:rsid w:val="00765E1B"/>
    <w:rsid w:val="00780B6D"/>
    <w:rsid w:val="00781578"/>
    <w:rsid w:val="00785C08"/>
    <w:rsid w:val="00791620"/>
    <w:rsid w:val="00792101"/>
    <w:rsid w:val="007A25A8"/>
    <w:rsid w:val="007A7642"/>
    <w:rsid w:val="007B2150"/>
    <w:rsid w:val="007B744F"/>
    <w:rsid w:val="007C0B1D"/>
    <w:rsid w:val="007C77C4"/>
    <w:rsid w:val="007D201E"/>
    <w:rsid w:val="007D5167"/>
    <w:rsid w:val="007D6022"/>
    <w:rsid w:val="007E1480"/>
    <w:rsid w:val="007E2F7E"/>
    <w:rsid w:val="007E66D7"/>
    <w:rsid w:val="007E7A08"/>
    <w:rsid w:val="007F6C17"/>
    <w:rsid w:val="008014EB"/>
    <w:rsid w:val="00806C37"/>
    <w:rsid w:val="00807F1E"/>
    <w:rsid w:val="0081072B"/>
    <w:rsid w:val="00816ADF"/>
    <w:rsid w:val="008173EA"/>
    <w:rsid w:val="00827B05"/>
    <w:rsid w:val="00827C62"/>
    <w:rsid w:val="008375D4"/>
    <w:rsid w:val="00846056"/>
    <w:rsid w:val="00856704"/>
    <w:rsid w:val="00860F61"/>
    <w:rsid w:val="00861F55"/>
    <w:rsid w:val="00864A4D"/>
    <w:rsid w:val="008654BE"/>
    <w:rsid w:val="00866C62"/>
    <w:rsid w:val="00872E49"/>
    <w:rsid w:val="0087304B"/>
    <w:rsid w:val="008835FD"/>
    <w:rsid w:val="008869E2"/>
    <w:rsid w:val="00886F2B"/>
    <w:rsid w:val="008933D6"/>
    <w:rsid w:val="00896EAC"/>
    <w:rsid w:val="008A4454"/>
    <w:rsid w:val="008A500A"/>
    <w:rsid w:val="008A6100"/>
    <w:rsid w:val="008B28B2"/>
    <w:rsid w:val="008B41E4"/>
    <w:rsid w:val="008C2A8D"/>
    <w:rsid w:val="008C5923"/>
    <w:rsid w:val="008D2935"/>
    <w:rsid w:val="008E3EEE"/>
    <w:rsid w:val="008F0D67"/>
    <w:rsid w:val="008F2C7E"/>
    <w:rsid w:val="008F4765"/>
    <w:rsid w:val="0090091F"/>
    <w:rsid w:val="0090281F"/>
    <w:rsid w:val="00902CF3"/>
    <w:rsid w:val="00905707"/>
    <w:rsid w:val="00906B36"/>
    <w:rsid w:val="009161D6"/>
    <w:rsid w:val="00916844"/>
    <w:rsid w:val="009169EB"/>
    <w:rsid w:val="009240DF"/>
    <w:rsid w:val="00927BE1"/>
    <w:rsid w:val="00931ADD"/>
    <w:rsid w:val="00933629"/>
    <w:rsid w:val="00946D5D"/>
    <w:rsid w:val="00947999"/>
    <w:rsid w:val="00951B31"/>
    <w:rsid w:val="00953B03"/>
    <w:rsid w:val="00953B7A"/>
    <w:rsid w:val="0096243E"/>
    <w:rsid w:val="00963195"/>
    <w:rsid w:val="00967200"/>
    <w:rsid w:val="00974752"/>
    <w:rsid w:val="00981BAC"/>
    <w:rsid w:val="00983435"/>
    <w:rsid w:val="009952A0"/>
    <w:rsid w:val="0099562B"/>
    <w:rsid w:val="009A0DA0"/>
    <w:rsid w:val="009A25A5"/>
    <w:rsid w:val="009A68D0"/>
    <w:rsid w:val="009B407C"/>
    <w:rsid w:val="009B5881"/>
    <w:rsid w:val="009B5CF6"/>
    <w:rsid w:val="009D0696"/>
    <w:rsid w:val="009D208B"/>
    <w:rsid w:val="009D302C"/>
    <w:rsid w:val="009D738C"/>
    <w:rsid w:val="009D7E32"/>
    <w:rsid w:val="009E5D41"/>
    <w:rsid w:val="009E7FDE"/>
    <w:rsid w:val="00A01E10"/>
    <w:rsid w:val="00A04A03"/>
    <w:rsid w:val="00A07C75"/>
    <w:rsid w:val="00A07FE9"/>
    <w:rsid w:val="00A14C04"/>
    <w:rsid w:val="00A20411"/>
    <w:rsid w:val="00A211EC"/>
    <w:rsid w:val="00A23320"/>
    <w:rsid w:val="00A23630"/>
    <w:rsid w:val="00A237F3"/>
    <w:rsid w:val="00A25F6C"/>
    <w:rsid w:val="00A317BF"/>
    <w:rsid w:val="00A35272"/>
    <w:rsid w:val="00A35D49"/>
    <w:rsid w:val="00A474D3"/>
    <w:rsid w:val="00A51184"/>
    <w:rsid w:val="00A64461"/>
    <w:rsid w:val="00A65960"/>
    <w:rsid w:val="00A7230F"/>
    <w:rsid w:val="00A805F7"/>
    <w:rsid w:val="00A84DAC"/>
    <w:rsid w:val="00A85237"/>
    <w:rsid w:val="00A869F6"/>
    <w:rsid w:val="00A87E1C"/>
    <w:rsid w:val="00A914A2"/>
    <w:rsid w:val="00A97640"/>
    <w:rsid w:val="00AB5A71"/>
    <w:rsid w:val="00AC0A2B"/>
    <w:rsid w:val="00AC2750"/>
    <w:rsid w:val="00AC49FC"/>
    <w:rsid w:val="00AC594E"/>
    <w:rsid w:val="00AD0351"/>
    <w:rsid w:val="00AD683D"/>
    <w:rsid w:val="00AE3A04"/>
    <w:rsid w:val="00AE4309"/>
    <w:rsid w:val="00AF26A7"/>
    <w:rsid w:val="00AF456C"/>
    <w:rsid w:val="00AF7671"/>
    <w:rsid w:val="00B06C8B"/>
    <w:rsid w:val="00B06E27"/>
    <w:rsid w:val="00B17BDD"/>
    <w:rsid w:val="00B2413E"/>
    <w:rsid w:val="00B264B5"/>
    <w:rsid w:val="00B26F24"/>
    <w:rsid w:val="00B31E14"/>
    <w:rsid w:val="00B33E92"/>
    <w:rsid w:val="00B35A74"/>
    <w:rsid w:val="00B36896"/>
    <w:rsid w:val="00B47546"/>
    <w:rsid w:val="00B51F13"/>
    <w:rsid w:val="00B54EF7"/>
    <w:rsid w:val="00B613BE"/>
    <w:rsid w:val="00B615D0"/>
    <w:rsid w:val="00B77A85"/>
    <w:rsid w:val="00B8240C"/>
    <w:rsid w:val="00B8244F"/>
    <w:rsid w:val="00B842C2"/>
    <w:rsid w:val="00B92677"/>
    <w:rsid w:val="00B92CC1"/>
    <w:rsid w:val="00B94CFA"/>
    <w:rsid w:val="00BA0EE9"/>
    <w:rsid w:val="00BB2DAA"/>
    <w:rsid w:val="00BB5AC8"/>
    <w:rsid w:val="00BB6EC4"/>
    <w:rsid w:val="00BC11C4"/>
    <w:rsid w:val="00BC18B5"/>
    <w:rsid w:val="00BC3532"/>
    <w:rsid w:val="00BD2E65"/>
    <w:rsid w:val="00BD54AD"/>
    <w:rsid w:val="00BD63D3"/>
    <w:rsid w:val="00BD7E9B"/>
    <w:rsid w:val="00BE2FD0"/>
    <w:rsid w:val="00BE3B24"/>
    <w:rsid w:val="00BF680C"/>
    <w:rsid w:val="00BF6E29"/>
    <w:rsid w:val="00BF7023"/>
    <w:rsid w:val="00C044BA"/>
    <w:rsid w:val="00C14321"/>
    <w:rsid w:val="00C14D52"/>
    <w:rsid w:val="00C17669"/>
    <w:rsid w:val="00C22B22"/>
    <w:rsid w:val="00C23886"/>
    <w:rsid w:val="00C2602A"/>
    <w:rsid w:val="00C33C52"/>
    <w:rsid w:val="00C35892"/>
    <w:rsid w:val="00C37E15"/>
    <w:rsid w:val="00C52FA1"/>
    <w:rsid w:val="00C5378F"/>
    <w:rsid w:val="00C56286"/>
    <w:rsid w:val="00C64ACE"/>
    <w:rsid w:val="00C64FF3"/>
    <w:rsid w:val="00C733E2"/>
    <w:rsid w:val="00C75BF7"/>
    <w:rsid w:val="00C8025D"/>
    <w:rsid w:val="00C82B48"/>
    <w:rsid w:val="00C835F3"/>
    <w:rsid w:val="00C8497F"/>
    <w:rsid w:val="00C94C64"/>
    <w:rsid w:val="00C94EC9"/>
    <w:rsid w:val="00CA5376"/>
    <w:rsid w:val="00CB3430"/>
    <w:rsid w:val="00CB3812"/>
    <w:rsid w:val="00CB5EB2"/>
    <w:rsid w:val="00CB6083"/>
    <w:rsid w:val="00CB7588"/>
    <w:rsid w:val="00CC7B5B"/>
    <w:rsid w:val="00CD0F84"/>
    <w:rsid w:val="00CD68A3"/>
    <w:rsid w:val="00CE0BA7"/>
    <w:rsid w:val="00CE2F72"/>
    <w:rsid w:val="00CE6933"/>
    <w:rsid w:val="00CF004D"/>
    <w:rsid w:val="00D02427"/>
    <w:rsid w:val="00D03851"/>
    <w:rsid w:val="00D038BF"/>
    <w:rsid w:val="00D12A14"/>
    <w:rsid w:val="00D134F7"/>
    <w:rsid w:val="00D1430F"/>
    <w:rsid w:val="00D17E21"/>
    <w:rsid w:val="00D23B74"/>
    <w:rsid w:val="00D33EA0"/>
    <w:rsid w:val="00D35D6E"/>
    <w:rsid w:val="00D37D91"/>
    <w:rsid w:val="00D521E6"/>
    <w:rsid w:val="00D65F4D"/>
    <w:rsid w:val="00D67D8D"/>
    <w:rsid w:val="00D839BB"/>
    <w:rsid w:val="00DA1263"/>
    <w:rsid w:val="00DA694B"/>
    <w:rsid w:val="00DB0A31"/>
    <w:rsid w:val="00DB17F5"/>
    <w:rsid w:val="00DB257A"/>
    <w:rsid w:val="00DC628D"/>
    <w:rsid w:val="00DD7540"/>
    <w:rsid w:val="00DF038C"/>
    <w:rsid w:val="00DF479C"/>
    <w:rsid w:val="00DF58FC"/>
    <w:rsid w:val="00DF7012"/>
    <w:rsid w:val="00E00140"/>
    <w:rsid w:val="00E019DA"/>
    <w:rsid w:val="00E05FBE"/>
    <w:rsid w:val="00E072A7"/>
    <w:rsid w:val="00E126DD"/>
    <w:rsid w:val="00E17942"/>
    <w:rsid w:val="00E2070C"/>
    <w:rsid w:val="00E24E95"/>
    <w:rsid w:val="00E25C41"/>
    <w:rsid w:val="00E265FF"/>
    <w:rsid w:val="00E274E7"/>
    <w:rsid w:val="00E27D3C"/>
    <w:rsid w:val="00E35DAC"/>
    <w:rsid w:val="00E37879"/>
    <w:rsid w:val="00E37F4B"/>
    <w:rsid w:val="00E41280"/>
    <w:rsid w:val="00E60AD4"/>
    <w:rsid w:val="00E63717"/>
    <w:rsid w:val="00E7115C"/>
    <w:rsid w:val="00E715F7"/>
    <w:rsid w:val="00E71E4A"/>
    <w:rsid w:val="00E7310B"/>
    <w:rsid w:val="00E81E4E"/>
    <w:rsid w:val="00E826E8"/>
    <w:rsid w:val="00E846B4"/>
    <w:rsid w:val="00E87EC0"/>
    <w:rsid w:val="00EA3EA9"/>
    <w:rsid w:val="00EB1B23"/>
    <w:rsid w:val="00EB3392"/>
    <w:rsid w:val="00EB3D97"/>
    <w:rsid w:val="00EB543B"/>
    <w:rsid w:val="00EB63CE"/>
    <w:rsid w:val="00EB63F5"/>
    <w:rsid w:val="00EC4978"/>
    <w:rsid w:val="00ED2F6C"/>
    <w:rsid w:val="00ED33AA"/>
    <w:rsid w:val="00ED6404"/>
    <w:rsid w:val="00EE0C45"/>
    <w:rsid w:val="00EE0D28"/>
    <w:rsid w:val="00EF4F33"/>
    <w:rsid w:val="00EF70AD"/>
    <w:rsid w:val="00F002AB"/>
    <w:rsid w:val="00F056C4"/>
    <w:rsid w:val="00F10071"/>
    <w:rsid w:val="00F11848"/>
    <w:rsid w:val="00F12CF7"/>
    <w:rsid w:val="00F17991"/>
    <w:rsid w:val="00F20997"/>
    <w:rsid w:val="00F26916"/>
    <w:rsid w:val="00F34E08"/>
    <w:rsid w:val="00F41742"/>
    <w:rsid w:val="00F54F4F"/>
    <w:rsid w:val="00F65B9E"/>
    <w:rsid w:val="00F70928"/>
    <w:rsid w:val="00F72723"/>
    <w:rsid w:val="00F8523E"/>
    <w:rsid w:val="00F94647"/>
    <w:rsid w:val="00F94F9A"/>
    <w:rsid w:val="00FA190D"/>
    <w:rsid w:val="00FA49DB"/>
    <w:rsid w:val="00FA5878"/>
    <w:rsid w:val="00FB68BA"/>
    <w:rsid w:val="00FC2151"/>
    <w:rsid w:val="00FC6932"/>
    <w:rsid w:val="00FD0F30"/>
    <w:rsid w:val="00FD17BC"/>
    <w:rsid w:val="00FD29A8"/>
    <w:rsid w:val="00FD5562"/>
    <w:rsid w:val="00FE5B3A"/>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4B"/>
    <w:pPr>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87304B"/>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04B"/>
    <w:rPr>
      <w:rFonts w:ascii="Arial" w:eastAsia="Times New Roman" w:hAnsi="Arial" w:cs="Arial"/>
      <w:b/>
      <w:bCs/>
      <w:kern w:val="32"/>
      <w:sz w:val="32"/>
      <w:szCs w:val="32"/>
    </w:rPr>
  </w:style>
  <w:style w:type="paragraph" w:styleId="Footer">
    <w:name w:val="footer"/>
    <w:basedOn w:val="Normal"/>
    <w:link w:val="FooterChar"/>
    <w:uiPriority w:val="99"/>
    <w:rsid w:val="0087304B"/>
    <w:pPr>
      <w:tabs>
        <w:tab w:val="center" w:pos="4153"/>
        <w:tab w:val="right" w:pos="8306"/>
      </w:tabs>
    </w:pPr>
  </w:style>
  <w:style w:type="character" w:customStyle="1" w:styleId="FooterChar">
    <w:name w:val="Footer Char"/>
    <w:basedOn w:val="DefaultParagraphFont"/>
    <w:link w:val="Footer"/>
    <w:uiPriority w:val="99"/>
    <w:rsid w:val="0087304B"/>
    <w:rPr>
      <w:rFonts w:ascii="Arial" w:eastAsia="Times New Roman" w:hAnsi="Arial" w:cs="Times New Roman"/>
      <w:sz w:val="28"/>
      <w:szCs w:val="24"/>
    </w:rPr>
  </w:style>
  <w:style w:type="character" w:styleId="PageNumber">
    <w:name w:val="page number"/>
    <w:basedOn w:val="DefaultParagraphFont"/>
    <w:rsid w:val="0087304B"/>
  </w:style>
  <w:style w:type="character" w:styleId="Hyperlink">
    <w:name w:val="Hyperlink"/>
    <w:basedOn w:val="DefaultParagraphFont"/>
    <w:uiPriority w:val="99"/>
    <w:rsid w:val="0087304B"/>
    <w:rPr>
      <w:color w:val="0000FF"/>
      <w:u w:val="single"/>
    </w:rPr>
  </w:style>
  <w:style w:type="paragraph" w:styleId="BodyText2">
    <w:name w:val="Body Text 2"/>
    <w:basedOn w:val="Normal"/>
    <w:link w:val="BodyText2Char"/>
    <w:rsid w:val="0087304B"/>
    <w:pPr>
      <w:spacing w:after="0"/>
    </w:pPr>
    <w:rPr>
      <w:b/>
      <w:szCs w:val="20"/>
    </w:rPr>
  </w:style>
  <w:style w:type="character" w:customStyle="1" w:styleId="BodyText2Char">
    <w:name w:val="Body Text 2 Char"/>
    <w:basedOn w:val="DefaultParagraphFont"/>
    <w:link w:val="BodyText2"/>
    <w:rsid w:val="0087304B"/>
    <w:rPr>
      <w:rFonts w:ascii="Arial" w:eastAsia="Times New Roman" w:hAnsi="Arial" w:cs="Times New Roman"/>
      <w:b/>
      <w:sz w:val="28"/>
      <w:szCs w:val="20"/>
    </w:rPr>
  </w:style>
  <w:style w:type="paragraph" w:styleId="Header">
    <w:name w:val="header"/>
    <w:basedOn w:val="Normal"/>
    <w:link w:val="HeaderChar"/>
    <w:rsid w:val="0087304B"/>
    <w:pPr>
      <w:tabs>
        <w:tab w:val="center" w:pos="4153"/>
        <w:tab w:val="right" w:pos="8306"/>
      </w:tabs>
      <w:spacing w:line="240" w:lineRule="atLeast"/>
    </w:pPr>
  </w:style>
  <w:style w:type="character" w:customStyle="1" w:styleId="HeaderChar">
    <w:name w:val="Header Char"/>
    <w:basedOn w:val="DefaultParagraphFont"/>
    <w:link w:val="Header"/>
    <w:rsid w:val="0087304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873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4B"/>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37B98"/>
    <w:pPr>
      <w:spacing w:after="200" w:line="276" w:lineRule="auto"/>
      <w:ind w:left="720"/>
      <w:contextualSpacing/>
    </w:pPr>
    <w:rPr>
      <w:rFonts w:asciiTheme="minorHAnsi" w:eastAsiaTheme="minorEastAsia" w:hAnsiTheme="minorHAnsi" w:cstheme="minorBidi"/>
      <w:sz w:val="22"/>
      <w:szCs w:val="22"/>
      <w:lang w:eastAsia="en-GB"/>
    </w:rPr>
  </w:style>
  <w:style w:type="character" w:styleId="FootnoteReference">
    <w:name w:val="footnote reference"/>
    <w:basedOn w:val="DefaultParagraphFont"/>
    <w:uiPriority w:val="99"/>
    <w:semiHidden/>
    <w:unhideWhenUsed/>
    <w:rsid w:val="00537B98"/>
    <w:rPr>
      <w:rFonts w:ascii="Times New Roman" w:hAnsi="Times New Roman" w:cs="Times New Roman" w:hint="default"/>
      <w:vertAlign w:val="superscript"/>
    </w:rPr>
  </w:style>
  <w:style w:type="paragraph" w:styleId="FootnoteText">
    <w:name w:val="footnote text"/>
    <w:basedOn w:val="Normal"/>
    <w:link w:val="FootnoteTextChar1"/>
    <w:uiPriority w:val="99"/>
    <w:semiHidden/>
    <w:rsid w:val="00B8240C"/>
    <w:pPr>
      <w:spacing w:after="200" w:line="276" w:lineRule="auto"/>
    </w:pPr>
    <w:rPr>
      <w:rFonts w:ascii="Calibri" w:hAnsi="Calibri"/>
      <w:sz w:val="20"/>
      <w:szCs w:val="20"/>
    </w:rPr>
  </w:style>
  <w:style w:type="character" w:customStyle="1" w:styleId="FootnoteTextChar">
    <w:name w:val="Footnote Text Char"/>
    <w:basedOn w:val="DefaultParagraphFont"/>
    <w:uiPriority w:val="99"/>
    <w:semiHidden/>
    <w:rsid w:val="00B8240C"/>
    <w:rPr>
      <w:rFonts w:ascii="Arial" w:eastAsia="Times New Roman" w:hAnsi="Arial" w:cs="Times New Roman"/>
      <w:sz w:val="20"/>
      <w:szCs w:val="20"/>
    </w:rPr>
  </w:style>
  <w:style w:type="character" w:customStyle="1" w:styleId="FootnoteTextChar1">
    <w:name w:val="Footnote Text Char1"/>
    <w:link w:val="FootnoteText"/>
    <w:uiPriority w:val="99"/>
    <w:semiHidden/>
    <w:locked/>
    <w:rsid w:val="00B8240C"/>
    <w:rPr>
      <w:rFonts w:ascii="Calibri" w:eastAsia="Times New Roman" w:hAnsi="Calibri" w:cs="Times New Roman"/>
      <w:sz w:val="20"/>
      <w:szCs w:val="20"/>
    </w:rPr>
  </w:style>
  <w:style w:type="paragraph" w:customStyle="1" w:styleId="bodytext0">
    <w:name w:val="body text 0"/>
    <w:aliases w:val="b0"/>
    <w:basedOn w:val="Normal"/>
    <w:rsid w:val="004E21B4"/>
    <w:pPr>
      <w:spacing w:after="0"/>
    </w:pPr>
    <w:rPr>
      <w:rFonts w:ascii="Comic Sans MS" w:hAnsi="Comic Sans MS"/>
      <w:sz w:val="24"/>
      <w:szCs w:val="20"/>
      <w:lang w:eastAsia="en-GB"/>
    </w:rPr>
  </w:style>
  <w:style w:type="paragraph" w:customStyle="1" w:styleId="bulletpoint0">
    <w:name w:val="bullet point 0"/>
    <w:aliases w:val="bp0"/>
    <w:basedOn w:val="bodytext0"/>
    <w:rsid w:val="004E21B4"/>
    <w:pPr>
      <w:ind w:left="720" w:hanging="720"/>
    </w:pPr>
  </w:style>
  <w:style w:type="paragraph" w:customStyle="1" w:styleId="bodytext1">
    <w:name w:val="body text 1"/>
    <w:aliases w:val="b1"/>
    <w:basedOn w:val="Normal"/>
    <w:rsid w:val="004E21B4"/>
    <w:pPr>
      <w:spacing w:after="0"/>
      <w:ind w:left="720"/>
    </w:pPr>
    <w:rPr>
      <w:rFonts w:ascii="Comic Sans MS" w:hAnsi="Comic Sans MS"/>
      <w:sz w:val="24"/>
      <w:szCs w:val="20"/>
      <w:lang w:eastAsia="en-GB"/>
    </w:rPr>
  </w:style>
  <w:style w:type="paragraph" w:customStyle="1" w:styleId="Default">
    <w:name w:val="Default"/>
    <w:rsid w:val="002E42A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next w:val="Normal"/>
    <w:qFormat/>
    <w:rsid w:val="008B41E4"/>
    <w:pPr>
      <w:spacing w:before="120" w:after="120"/>
      <w:jc w:val="both"/>
    </w:pPr>
    <w:rPr>
      <w:rFonts w:eastAsiaTheme="minorHAnsi" w:cstheme="minorBidi"/>
      <w:sz w:val="24"/>
      <w:szCs w:val="22"/>
    </w:rPr>
  </w:style>
  <w:style w:type="character" w:customStyle="1" w:styleId="A0">
    <w:name w:val="A0"/>
    <w:uiPriority w:val="99"/>
    <w:rsid w:val="00636196"/>
    <w:rPr>
      <w:rFonts w:cs="URWClarendonTOTLig"/>
      <w:color w:val="000000"/>
      <w:sz w:val="20"/>
      <w:szCs w:val="20"/>
    </w:rPr>
  </w:style>
  <w:style w:type="paragraph" w:customStyle="1" w:styleId="Pa2">
    <w:name w:val="Pa2"/>
    <w:basedOn w:val="Default"/>
    <w:next w:val="Default"/>
    <w:uiPriority w:val="99"/>
    <w:rsid w:val="00C75BF7"/>
    <w:pPr>
      <w:spacing w:line="241" w:lineRule="atLeast"/>
    </w:pPr>
    <w:rPr>
      <w:rFonts w:ascii="URWClarendonTOTLig" w:hAnsi="URWClarendonTOTLig" w:cstheme="minorBidi"/>
      <w:color w:val="auto"/>
    </w:rPr>
  </w:style>
  <w:style w:type="character" w:customStyle="1" w:styleId="A7">
    <w:name w:val="A7"/>
    <w:uiPriority w:val="99"/>
    <w:rsid w:val="00C75BF7"/>
    <w:rPr>
      <w:rFonts w:cs="URWClarendonTOTLig"/>
      <w:color w:val="000000"/>
      <w:sz w:val="11"/>
      <w:szCs w:val="11"/>
    </w:rPr>
  </w:style>
  <w:style w:type="character" w:customStyle="1" w:styleId="A2">
    <w:name w:val="A2"/>
    <w:uiPriority w:val="99"/>
    <w:rsid w:val="004B651B"/>
    <w:rPr>
      <w:rFonts w:cs="URWClarendonTOT"/>
      <w:color w:val="000000"/>
      <w:sz w:val="28"/>
      <w:szCs w:val="28"/>
    </w:rPr>
  </w:style>
  <w:style w:type="character" w:styleId="FollowedHyperlink">
    <w:name w:val="FollowedHyperlink"/>
    <w:basedOn w:val="DefaultParagraphFont"/>
    <w:uiPriority w:val="99"/>
    <w:semiHidden/>
    <w:unhideWhenUsed/>
    <w:rsid w:val="00780B6D"/>
    <w:rPr>
      <w:color w:val="800080" w:themeColor="followedHyperlink"/>
      <w:u w:val="single"/>
    </w:rPr>
  </w:style>
  <w:style w:type="paragraph" w:styleId="NormalWeb">
    <w:name w:val="Normal (Web)"/>
    <w:basedOn w:val="Normal"/>
    <w:uiPriority w:val="99"/>
    <w:semiHidden/>
    <w:unhideWhenUsed/>
    <w:rsid w:val="00780B6D"/>
    <w:pPr>
      <w:spacing w:before="100" w:beforeAutospacing="1" w:after="100" w:afterAutospacing="1"/>
    </w:pPr>
    <w:rPr>
      <w:rFonts w:ascii="Times New Roman" w:hAnsi="Times New Roman"/>
      <w:sz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6F0855"/>
    <w:rPr>
      <w:rFonts w:eastAsiaTheme="minorEastAsia"/>
      <w:lang w:eastAsia="en-GB"/>
    </w:rPr>
  </w:style>
  <w:style w:type="character" w:customStyle="1" w:styleId="A5">
    <w:name w:val="A5"/>
    <w:uiPriority w:val="99"/>
    <w:rsid w:val="00CB5EB2"/>
    <w:rPr>
      <w:rFonts w:cs="URWClarendonTOTLig"/>
      <w:color w:val="000000"/>
      <w:sz w:val="22"/>
      <w:szCs w:val="22"/>
    </w:rPr>
  </w:style>
  <w:style w:type="character" w:customStyle="1" w:styleId="h2">
    <w:name w:val="h2"/>
    <w:basedOn w:val="DefaultParagraphFont"/>
    <w:rsid w:val="00E072A7"/>
  </w:style>
  <w:style w:type="character" w:customStyle="1" w:styleId="A4">
    <w:name w:val="A4"/>
    <w:uiPriority w:val="99"/>
    <w:rsid w:val="00E072A7"/>
    <w:rPr>
      <w:rFonts w:cs="URWClarendonTOTLig"/>
      <w:i/>
      <w:iCs/>
      <w:color w:val="000000"/>
      <w:sz w:val="14"/>
      <w:szCs w:val="14"/>
    </w:rPr>
  </w:style>
  <w:style w:type="character" w:customStyle="1" w:styleId="A11">
    <w:name w:val="A11"/>
    <w:uiPriority w:val="99"/>
    <w:rsid w:val="00E072A7"/>
    <w:rPr>
      <w:rFonts w:cs="URWClarendonTOTLig"/>
      <w:color w:val="000000"/>
      <w:sz w:val="12"/>
      <w:szCs w:val="12"/>
    </w:rPr>
  </w:style>
  <w:style w:type="character" w:styleId="CommentReference">
    <w:name w:val="annotation reference"/>
    <w:basedOn w:val="DefaultParagraphFont"/>
    <w:uiPriority w:val="99"/>
    <w:semiHidden/>
    <w:unhideWhenUsed/>
    <w:rsid w:val="0034022E"/>
    <w:rPr>
      <w:sz w:val="16"/>
      <w:szCs w:val="16"/>
    </w:rPr>
  </w:style>
  <w:style w:type="paragraph" w:styleId="CommentText">
    <w:name w:val="annotation text"/>
    <w:basedOn w:val="Normal"/>
    <w:link w:val="CommentTextChar"/>
    <w:uiPriority w:val="99"/>
    <w:semiHidden/>
    <w:unhideWhenUsed/>
    <w:rsid w:val="0034022E"/>
    <w:rPr>
      <w:sz w:val="20"/>
      <w:szCs w:val="20"/>
    </w:rPr>
  </w:style>
  <w:style w:type="character" w:customStyle="1" w:styleId="CommentTextChar">
    <w:name w:val="Comment Text Char"/>
    <w:basedOn w:val="DefaultParagraphFont"/>
    <w:link w:val="CommentText"/>
    <w:uiPriority w:val="99"/>
    <w:semiHidden/>
    <w:rsid w:val="00340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22E"/>
    <w:rPr>
      <w:b/>
      <w:bCs/>
    </w:rPr>
  </w:style>
  <w:style w:type="character" w:customStyle="1" w:styleId="CommentSubjectChar">
    <w:name w:val="Comment Subject Char"/>
    <w:basedOn w:val="CommentTextChar"/>
    <w:link w:val="CommentSubject"/>
    <w:uiPriority w:val="99"/>
    <w:semiHidden/>
    <w:rsid w:val="0034022E"/>
    <w:rPr>
      <w:rFonts w:ascii="Arial" w:eastAsia="Times New Roman" w:hAnsi="Arial" w:cs="Times New Roman"/>
      <w:b/>
      <w:bCs/>
      <w:sz w:val="20"/>
      <w:szCs w:val="20"/>
    </w:rPr>
  </w:style>
  <w:style w:type="table" w:styleId="TableGrid">
    <w:name w:val="Table Grid"/>
    <w:basedOn w:val="TableNormal"/>
    <w:uiPriority w:val="59"/>
    <w:rsid w:val="00EE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4B"/>
    <w:pPr>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87304B"/>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04B"/>
    <w:rPr>
      <w:rFonts w:ascii="Arial" w:eastAsia="Times New Roman" w:hAnsi="Arial" w:cs="Arial"/>
      <w:b/>
      <w:bCs/>
      <w:kern w:val="32"/>
      <w:sz w:val="32"/>
      <w:szCs w:val="32"/>
    </w:rPr>
  </w:style>
  <w:style w:type="paragraph" w:styleId="Footer">
    <w:name w:val="footer"/>
    <w:basedOn w:val="Normal"/>
    <w:link w:val="FooterChar"/>
    <w:uiPriority w:val="99"/>
    <w:rsid w:val="0087304B"/>
    <w:pPr>
      <w:tabs>
        <w:tab w:val="center" w:pos="4153"/>
        <w:tab w:val="right" w:pos="8306"/>
      </w:tabs>
    </w:pPr>
  </w:style>
  <w:style w:type="character" w:customStyle="1" w:styleId="FooterChar">
    <w:name w:val="Footer Char"/>
    <w:basedOn w:val="DefaultParagraphFont"/>
    <w:link w:val="Footer"/>
    <w:uiPriority w:val="99"/>
    <w:rsid w:val="0087304B"/>
    <w:rPr>
      <w:rFonts w:ascii="Arial" w:eastAsia="Times New Roman" w:hAnsi="Arial" w:cs="Times New Roman"/>
      <w:sz w:val="28"/>
      <w:szCs w:val="24"/>
    </w:rPr>
  </w:style>
  <w:style w:type="character" w:styleId="PageNumber">
    <w:name w:val="page number"/>
    <w:basedOn w:val="DefaultParagraphFont"/>
    <w:rsid w:val="0087304B"/>
  </w:style>
  <w:style w:type="character" w:styleId="Hyperlink">
    <w:name w:val="Hyperlink"/>
    <w:basedOn w:val="DefaultParagraphFont"/>
    <w:uiPriority w:val="99"/>
    <w:rsid w:val="0087304B"/>
    <w:rPr>
      <w:color w:val="0000FF"/>
      <w:u w:val="single"/>
    </w:rPr>
  </w:style>
  <w:style w:type="paragraph" w:styleId="BodyText2">
    <w:name w:val="Body Text 2"/>
    <w:basedOn w:val="Normal"/>
    <w:link w:val="BodyText2Char"/>
    <w:rsid w:val="0087304B"/>
    <w:pPr>
      <w:spacing w:after="0"/>
    </w:pPr>
    <w:rPr>
      <w:b/>
      <w:szCs w:val="20"/>
    </w:rPr>
  </w:style>
  <w:style w:type="character" w:customStyle="1" w:styleId="BodyText2Char">
    <w:name w:val="Body Text 2 Char"/>
    <w:basedOn w:val="DefaultParagraphFont"/>
    <w:link w:val="BodyText2"/>
    <w:rsid w:val="0087304B"/>
    <w:rPr>
      <w:rFonts w:ascii="Arial" w:eastAsia="Times New Roman" w:hAnsi="Arial" w:cs="Times New Roman"/>
      <w:b/>
      <w:sz w:val="28"/>
      <w:szCs w:val="20"/>
    </w:rPr>
  </w:style>
  <w:style w:type="paragraph" w:styleId="Header">
    <w:name w:val="header"/>
    <w:basedOn w:val="Normal"/>
    <w:link w:val="HeaderChar"/>
    <w:rsid w:val="0087304B"/>
    <w:pPr>
      <w:tabs>
        <w:tab w:val="center" w:pos="4153"/>
        <w:tab w:val="right" w:pos="8306"/>
      </w:tabs>
      <w:spacing w:line="240" w:lineRule="atLeast"/>
    </w:pPr>
  </w:style>
  <w:style w:type="character" w:customStyle="1" w:styleId="HeaderChar">
    <w:name w:val="Header Char"/>
    <w:basedOn w:val="DefaultParagraphFont"/>
    <w:link w:val="Header"/>
    <w:rsid w:val="0087304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873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4B"/>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37B98"/>
    <w:pPr>
      <w:spacing w:after="200" w:line="276" w:lineRule="auto"/>
      <w:ind w:left="720"/>
      <w:contextualSpacing/>
    </w:pPr>
    <w:rPr>
      <w:rFonts w:asciiTheme="minorHAnsi" w:eastAsiaTheme="minorEastAsia" w:hAnsiTheme="minorHAnsi" w:cstheme="minorBidi"/>
      <w:sz w:val="22"/>
      <w:szCs w:val="22"/>
      <w:lang w:eastAsia="en-GB"/>
    </w:rPr>
  </w:style>
  <w:style w:type="character" w:styleId="FootnoteReference">
    <w:name w:val="footnote reference"/>
    <w:basedOn w:val="DefaultParagraphFont"/>
    <w:uiPriority w:val="99"/>
    <w:semiHidden/>
    <w:unhideWhenUsed/>
    <w:rsid w:val="00537B98"/>
    <w:rPr>
      <w:rFonts w:ascii="Times New Roman" w:hAnsi="Times New Roman" w:cs="Times New Roman" w:hint="default"/>
      <w:vertAlign w:val="superscript"/>
    </w:rPr>
  </w:style>
  <w:style w:type="paragraph" w:styleId="FootnoteText">
    <w:name w:val="footnote text"/>
    <w:basedOn w:val="Normal"/>
    <w:link w:val="FootnoteTextChar1"/>
    <w:uiPriority w:val="99"/>
    <w:semiHidden/>
    <w:rsid w:val="00B8240C"/>
    <w:pPr>
      <w:spacing w:after="200" w:line="276" w:lineRule="auto"/>
    </w:pPr>
    <w:rPr>
      <w:rFonts w:ascii="Calibri" w:hAnsi="Calibri"/>
      <w:sz w:val="20"/>
      <w:szCs w:val="20"/>
    </w:rPr>
  </w:style>
  <w:style w:type="character" w:customStyle="1" w:styleId="FootnoteTextChar">
    <w:name w:val="Footnote Text Char"/>
    <w:basedOn w:val="DefaultParagraphFont"/>
    <w:uiPriority w:val="99"/>
    <w:semiHidden/>
    <w:rsid w:val="00B8240C"/>
    <w:rPr>
      <w:rFonts w:ascii="Arial" w:eastAsia="Times New Roman" w:hAnsi="Arial" w:cs="Times New Roman"/>
      <w:sz w:val="20"/>
      <w:szCs w:val="20"/>
    </w:rPr>
  </w:style>
  <w:style w:type="character" w:customStyle="1" w:styleId="FootnoteTextChar1">
    <w:name w:val="Footnote Text Char1"/>
    <w:link w:val="FootnoteText"/>
    <w:uiPriority w:val="99"/>
    <w:semiHidden/>
    <w:locked/>
    <w:rsid w:val="00B8240C"/>
    <w:rPr>
      <w:rFonts w:ascii="Calibri" w:eastAsia="Times New Roman" w:hAnsi="Calibri" w:cs="Times New Roman"/>
      <w:sz w:val="20"/>
      <w:szCs w:val="20"/>
    </w:rPr>
  </w:style>
  <w:style w:type="paragraph" w:customStyle="1" w:styleId="bodytext0">
    <w:name w:val="body text 0"/>
    <w:aliases w:val="b0"/>
    <w:basedOn w:val="Normal"/>
    <w:rsid w:val="004E21B4"/>
    <w:pPr>
      <w:spacing w:after="0"/>
    </w:pPr>
    <w:rPr>
      <w:rFonts w:ascii="Comic Sans MS" w:hAnsi="Comic Sans MS"/>
      <w:sz w:val="24"/>
      <w:szCs w:val="20"/>
      <w:lang w:eastAsia="en-GB"/>
    </w:rPr>
  </w:style>
  <w:style w:type="paragraph" w:customStyle="1" w:styleId="bulletpoint0">
    <w:name w:val="bullet point 0"/>
    <w:aliases w:val="bp0"/>
    <w:basedOn w:val="bodytext0"/>
    <w:rsid w:val="004E21B4"/>
    <w:pPr>
      <w:ind w:left="720" w:hanging="720"/>
    </w:pPr>
  </w:style>
  <w:style w:type="paragraph" w:customStyle="1" w:styleId="bodytext1">
    <w:name w:val="body text 1"/>
    <w:aliases w:val="b1"/>
    <w:basedOn w:val="Normal"/>
    <w:rsid w:val="004E21B4"/>
    <w:pPr>
      <w:spacing w:after="0"/>
      <w:ind w:left="720"/>
    </w:pPr>
    <w:rPr>
      <w:rFonts w:ascii="Comic Sans MS" w:hAnsi="Comic Sans MS"/>
      <w:sz w:val="24"/>
      <w:szCs w:val="20"/>
      <w:lang w:eastAsia="en-GB"/>
    </w:rPr>
  </w:style>
  <w:style w:type="paragraph" w:customStyle="1" w:styleId="Default">
    <w:name w:val="Default"/>
    <w:rsid w:val="002E42A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next w:val="Normal"/>
    <w:qFormat/>
    <w:rsid w:val="008B41E4"/>
    <w:pPr>
      <w:spacing w:before="120" w:after="120"/>
      <w:jc w:val="both"/>
    </w:pPr>
    <w:rPr>
      <w:rFonts w:eastAsiaTheme="minorHAnsi" w:cstheme="minorBidi"/>
      <w:sz w:val="24"/>
      <w:szCs w:val="22"/>
    </w:rPr>
  </w:style>
  <w:style w:type="character" w:customStyle="1" w:styleId="A0">
    <w:name w:val="A0"/>
    <w:uiPriority w:val="99"/>
    <w:rsid w:val="00636196"/>
    <w:rPr>
      <w:rFonts w:cs="URWClarendonTOTLig"/>
      <w:color w:val="000000"/>
      <w:sz w:val="20"/>
      <w:szCs w:val="20"/>
    </w:rPr>
  </w:style>
  <w:style w:type="paragraph" w:customStyle="1" w:styleId="Pa2">
    <w:name w:val="Pa2"/>
    <w:basedOn w:val="Default"/>
    <w:next w:val="Default"/>
    <w:uiPriority w:val="99"/>
    <w:rsid w:val="00C75BF7"/>
    <w:pPr>
      <w:spacing w:line="241" w:lineRule="atLeast"/>
    </w:pPr>
    <w:rPr>
      <w:rFonts w:ascii="URWClarendonTOTLig" w:hAnsi="URWClarendonTOTLig" w:cstheme="minorBidi"/>
      <w:color w:val="auto"/>
    </w:rPr>
  </w:style>
  <w:style w:type="character" w:customStyle="1" w:styleId="A7">
    <w:name w:val="A7"/>
    <w:uiPriority w:val="99"/>
    <w:rsid w:val="00C75BF7"/>
    <w:rPr>
      <w:rFonts w:cs="URWClarendonTOTLig"/>
      <w:color w:val="000000"/>
      <w:sz w:val="11"/>
      <w:szCs w:val="11"/>
    </w:rPr>
  </w:style>
  <w:style w:type="character" w:customStyle="1" w:styleId="A2">
    <w:name w:val="A2"/>
    <w:uiPriority w:val="99"/>
    <w:rsid w:val="004B651B"/>
    <w:rPr>
      <w:rFonts w:cs="URWClarendonTOT"/>
      <w:color w:val="000000"/>
      <w:sz w:val="28"/>
      <w:szCs w:val="28"/>
    </w:rPr>
  </w:style>
  <w:style w:type="character" w:styleId="FollowedHyperlink">
    <w:name w:val="FollowedHyperlink"/>
    <w:basedOn w:val="DefaultParagraphFont"/>
    <w:uiPriority w:val="99"/>
    <w:semiHidden/>
    <w:unhideWhenUsed/>
    <w:rsid w:val="00780B6D"/>
    <w:rPr>
      <w:color w:val="800080" w:themeColor="followedHyperlink"/>
      <w:u w:val="single"/>
    </w:rPr>
  </w:style>
  <w:style w:type="paragraph" w:styleId="NormalWeb">
    <w:name w:val="Normal (Web)"/>
    <w:basedOn w:val="Normal"/>
    <w:uiPriority w:val="99"/>
    <w:semiHidden/>
    <w:unhideWhenUsed/>
    <w:rsid w:val="00780B6D"/>
    <w:pPr>
      <w:spacing w:before="100" w:beforeAutospacing="1" w:after="100" w:afterAutospacing="1"/>
    </w:pPr>
    <w:rPr>
      <w:rFonts w:ascii="Times New Roman" w:hAnsi="Times New Roman"/>
      <w:sz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6F0855"/>
    <w:rPr>
      <w:rFonts w:eastAsiaTheme="minorEastAsia"/>
      <w:lang w:eastAsia="en-GB"/>
    </w:rPr>
  </w:style>
  <w:style w:type="character" w:customStyle="1" w:styleId="A5">
    <w:name w:val="A5"/>
    <w:uiPriority w:val="99"/>
    <w:rsid w:val="00CB5EB2"/>
    <w:rPr>
      <w:rFonts w:cs="URWClarendonTOTLig"/>
      <w:color w:val="000000"/>
      <w:sz w:val="22"/>
      <w:szCs w:val="22"/>
    </w:rPr>
  </w:style>
  <w:style w:type="character" w:customStyle="1" w:styleId="h2">
    <w:name w:val="h2"/>
    <w:basedOn w:val="DefaultParagraphFont"/>
    <w:rsid w:val="00E072A7"/>
  </w:style>
  <w:style w:type="character" w:customStyle="1" w:styleId="A4">
    <w:name w:val="A4"/>
    <w:uiPriority w:val="99"/>
    <w:rsid w:val="00E072A7"/>
    <w:rPr>
      <w:rFonts w:cs="URWClarendonTOTLig"/>
      <w:i/>
      <w:iCs/>
      <w:color w:val="000000"/>
      <w:sz w:val="14"/>
      <w:szCs w:val="14"/>
    </w:rPr>
  </w:style>
  <w:style w:type="character" w:customStyle="1" w:styleId="A11">
    <w:name w:val="A11"/>
    <w:uiPriority w:val="99"/>
    <w:rsid w:val="00E072A7"/>
    <w:rPr>
      <w:rFonts w:cs="URWClarendonTOTLig"/>
      <w:color w:val="000000"/>
      <w:sz w:val="12"/>
      <w:szCs w:val="12"/>
    </w:rPr>
  </w:style>
  <w:style w:type="character" w:styleId="CommentReference">
    <w:name w:val="annotation reference"/>
    <w:basedOn w:val="DefaultParagraphFont"/>
    <w:uiPriority w:val="99"/>
    <w:semiHidden/>
    <w:unhideWhenUsed/>
    <w:rsid w:val="0034022E"/>
    <w:rPr>
      <w:sz w:val="16"/>
      <w:szCs w:val="16"/>
    </w:rPr>
  </w:style>
  <w:style w:type="paragraph" w:styleId="CommentText">
    <w:name w:val="annotation text"/>
    <w:basedOn w:val="Normal"/>
    <w:link w:val="CommentTextChar"/>
    <w:uiPriority w:val="99"/>
    <w:semiHidden/>
    <w:unhideWhenUsed/>
    <w:rsid w:val="0034022E"/>
    <w:rPr>
      <w:sz w:val="20"/>
      <w:szCs w:val="20"/>
    </w:rPr>
  </w:style>
  <w:style w:type="character" w:customStyle="1" w:styleId="CommentTextChar">
    <w:name w:val="Comment Text Char"/>
    <w:basedOn w:val="DefaultParagraphFont"/>
    <w:link w:val="CommentText"/>
    <w:uiPriority w:val="99"/>
    <w:semiHidden/>
    <w:rsid w:val="00340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22E"/>
    <w:rPr>
      <w:b/>
      <w:bCs/>
    </w:rPr>
  </w:style>
  <w:style w:type="character" w:customStyle="1" w:styleId="CommentSubjectChar">
    <w:name w:val="Comment Subject Char"/>
    <w:basedOn w:val="CommentTextChar"/>
    <w:link w:val="CommentSubject"/>
    <w:uiPriority w:val="99"/>
    <w:semiHidden/>
    <w:rsid w:val="0034022E"/>
    <w:rPr>
      <w:rFonts w:ascii="Arial" w:eastAsia="Times New Roman" w:hAnsi="Arial" w:cs="Times New Roman"/>
      <w:b/>
      <w:bCs/>
      <w:sz w:val="20"/>
      <w:szCs w:val="20"/>
    </w:rPr>
  </w:style>
  <w:style w:type="table" w:styleId="TableGrid">
    <w:name w:val="Table Grid"/>
    <w:basedOn w:val="TableNormal"/>
    <w:uiPriority w:val="59"/>
    <w:rsid w:val="00EE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731">
      <w:bodyDiv w:val="1"/>
      <w:marLeft w:val="0"/>
      <w:marRight w:val="0"/>
      <w:marTop w:val="0"/>
      <w:marBottom w:val="0"/>
      <w:divBdr>
        <w:top w:val="none" w:sz="0" w:space="0" w:color="auto"/>
        <w:left w:val="none" w:sz="0" w:space="0" w:color="auto"/>
        <w:bottom w:val="none" w:sz="0" w:space="0" w:color="auto"/>
        <w:right w:val="none" w:sz="0" w:space="0" w:color="auto"/>
      </w:divBdr>
      <w:divsChild>
        <w:div w:id="1145586035">
          <w:marLeft w:val="0"/>
          <w:marRight w:val="0"/>
          <w:marTop w:val="0"/>
          <w:marBottom w:val="0"/>
          <w:divBdr>
            <w:top w:val="none" w:sz="0" w:space="0" w:color="auto"/>
            <w:left w:val="none" w:sz="0" w:space="0" w:color="auto"/>
            <w:bottom w:val="none" w:sz="0" w:space="0" w:color="auto"/>
            <w:right w:val="none" w:sz="0" w:space="0" w:color="auto"/>
          </w:divBdr>
          <w:divsChild>
            <w:div w:id="759568928">
              <w:marLeft w:val="0"/>
              <w:marRight w:val="0"/>
              <w:marTop w:val="0"/>
              <w:marBottom w:val="0"/>
              <w:divBdr>
                <w:top w:val="none" w:sz="0" w:space="0" w:color="auto"/>
                <w:left w:val="none" w:sz="0" w:space="0" w:color="auto"/>
                <w:bottom w:val="none" w:sz="0" w:space="0" w:color="auto"/>
                <w:right w:val="none" w:sz="0" w:space="0" w:color="auto"/>
              </w:divBdr>
              <w:divsChild>
                <w:div w:id="90511036">
                  <w:marLeft w:val="0"/>
                  <w:marRight w:val="0"/>
                  <w:marTop w:val="0"/>
                  <w:marBottom w:val="0"/>
                  <w:divBdr>
                    <w:top w:val="none" w:sz="0" w:space="0" w:color="auto"/>
                    <w:left w:val="none" w:sz="0" w:space="0" w:color="auto"/>
                    <w:bottom w:val="none" w:sz="0" w:space="0" w:color="auto"/>
                    <w:right w:val="none" w:sz="0" w:space="0" w:color="auto"/>
                  </w:divBdr>
                  <w:divsChild>
                    <w:div w:id="692728072">
                      <w:marLeft w:val="0"/>
                      <w:marRight w:val="0"/>
                      <w:marTop w:val="0"/>
                      <w:marBottom w:val="0"/>
                      <w:divBdr>
                        <w:top w:val="none" w:sz="0" w:space="0" w:color="auto"/>
                        <w:left w:val="none" w:sz="0" w:space="0" w:color="auto"/>
                        <w:bottom w:val="none" w:sz="0" w:space="0" w:color="auto"/>
                        <w:right w:val="none" w:sz="0" w:space="0" w:color="auto"/>
                      </w:divBdr>
                      <w:divsChild>
                        <w:div w:id="285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9158">
      <w:bodyDiv w:val="1"/>
      <w:marLeft w:val="0"/>
      <w:marRight w:val="0"/>
      <w:marTop w:val="0"/>
      <w:marBottom w:val="0"/>
      <w:divBdr>
        <w:top w:val="single" w:sz="18" w:space="0" w:color="E72929"/>
        <w:left w:val="none" w:sz="0" w:space="0" w:color="auto"/>
        <w:bottom w:val="none" w:sz="0" w:space="0" w:color="auto"/>
        <w:right w:val="none" w:sz="0" w:space="0" w:color="auto"/>
      </w:divBdr>
      <w:divsChild>
        <w:div w:id="1837768056">
          <w:marLeft w:val="0"/>
          <w:marRight w:val="0"/>
          <w:marTop w:val="0"/>
          <w:marBottom w:val="0"/>
          <w:divBdr>
            <w:top w:val="none" w:sz="0" w:space="0" w:color="auto"/>
            <w:left w:val="none" w:sz="0" w:space="0" w:color="auto"/>
            <w:bottom w:val="none" w:sz="0" w:space="0" w:color="auto"/>
            <w:right w:val="none" w:sz="0" w:space="0" w:color="auto"/>
          </w:divBdr>
          <w:divsChild>
            <w:div w:id="1255742732">
              <w:marLeft w:val="0"/>
              <w:marRight w:val="0"/>
              <w:marTop w:val="0"/>
              <w:marBottom w:val="0"/>
              <w:divBdr>
                <w:top w:val="none" w:sz="0" w:space="0" w:color="auto"/>
                <w:left w:val="none" w:sz="0" w:space="0" w:color="auto"/>
                <w:bottom w:val="none" w:sz="0" w:space="0" w:color="auto"/>
                <w:right w:val="none" w:sz="0" w:space="0" w:color="auto"/>
              </w:divBdr>
              <w:divsChild>
                <w:div w:id="2710167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32952830">
      <w:bodyDiv w:val="1"/>
      <w:marLeft w:val="0"/>
      <w:marRight w:val="0"/>
      <w:marTop w:val="0"/>
      <w:marBottom w:val="0"/>
      <w:divBdr>
        <w:top w:val="single" w:sz="18" w:space="0" w:color="E72929"/>
        <w:left w:val="none" w:sz="0" w:space="0" w:color="auto"/>
        <w:bottom w:val="none" w:sz="0" w:space="0" w:color="auto"/>
        <w:right w:val="none" w:sz="0" w:space="0" w:color="auto"/>
      </w:divBdr>
      <w:divsChild>
        <w:div w:id="1028338045">
          <w:marLeft w:val="0"/>
          <w:marRight w:val="0"/>
          <w:marTop w:val="0"/>
          <w:marBottom w:val="0"/>
          <w:divBdr>
            <w:top w:val="none" w:sz="0" w:space="0" w:color="auto"/>
            <w:left w:val="none" w:sz="0" w:space="0" w:color="auto"/>
            <w:bottom w:val="none" w:sz="0" w:space="0" w:color="auto"/>
            <w:right w:val="none" w:sz="0" w:space="0" w:color="auto"/>
          </w:divBdr>
          <w:divsChild>
            <w:div w:id="1169441581">
              <w:marLeft w:val="0"/>
              <w:marRight w:val="0"/>
              <w:marTop w:val="0"/>
              <w:marBottom w:val="0"/>
              <w:divBdr>
                <w:top w:val="none" w:sz="0" w:space="0" w:color="auto"/>
                <w:left w:val="none" w:sz="0" w:space="0" w:color="auto"/>
                <w:bottom w:val="none" w:sz="0" w:space="0" w:color="auto"/>
                <w:right w:val="none" w:sz="0" w:space="0" w:color="auto"/>
              </w:divBdr>
              <w:divsChild>
                <w:div w:id="14028750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81793753">
      <w:bodyDiv w:val="1"/>
      <w:marLeft w:val="0"/>
      <w:marRight w:val="0"/>
      <w:marTop w:val="0"/>
      <w:marBottom w:val="0"/>
      <w:divBdr>
        <w:top w:val="none" w:sz="0" w:space="0" w:color="auto"/>
        <w:left w:val="none" w:sz="0" w:space="0" w:color="auto"/>
        <w:bottom w:val="none" w:sz="0" w:space="0" w:color="auto"/>
        <w:right w:val="none" w:sz="0" w:space="0" w:color="auto"/>
      </w:divBdr>
    </w:div>
    <w:div w:id="1957909294">
      <w:bodyDiv w:val="1"/>
      <w:marLeft w:val="0"/>
      <w:marRight w:val="0"/>
      <w:marTop w:val="0"/>
      <w:marBottom w:val="0"/>
      <w:divBdr>
        <w:top w:val="none" w:sz="0" w:space="0" w:color="auto"/>
        <w:left w:val="none" w:sz="0" w:space="0" w:color="auto"/>
        <w:bottom w:val="none" w:sz="0" w:space="0" w:color="auto"/>
        <w:right w:val="none" w:sz="0" w:space="0" w:color="auto"/>
      </w:divBdr>
    </w:div>
    <w:div w:id="2076050682">
      <w:bodyDiv w:val="1"/>
      <w:marLeft w:val="0"/>
      <w:marRight w:val="0"/>
      <w:marTop w:val="0"/>
      <w:marBottom w:val="0"/>
      <w:divBdr>
        <w:top w:val="none" w:sz="0" w:space="0" w:color="auto"/>
        <w:left w:val="none" w:sz="0" w:space="0" w:color="auto"/>
        <w:bottom w:val="none" w:sz="0" w:space="0" w:color="auto"/>
        <w:right w:val="none" w:sz="0" w:space="0" w:color="auto"/>
      </w:divBdr>
    </w:div>
    <w:div w:id="2098403983">
      <w:bodyDiv w:val="1"/>
      <w:marLeft w:val="0"/>
      <w:marRight w:val="0"/>
      <w:marTop w:val="0"/>
      <w:marBottom w:val="0"/>
      <w:divBdr>
        <w:top w:val="single" w:sz="18" w:space="0" w:color="E72929"/>
        <w:left w:val="none" w:sz="0" w:space="0" w:color="auto"/>
        <w:bottom w:val="none" w:sz="0" w:space="0" w:color="auto"/>
        <w:right w:val="none" w:sz="0" w:space="0" w:color="auto"/>
      </w:divBdr>
      <w:divsChild>
        <w:div w:id="389770551">
          <w:marLeft w:val="0"/>
          <w:marRight w:val="0"/>
          <w:marTop w:val="0"/>
          <w:marBottom w:val="0"/>
          <w:divBdr>
            <w:top w:val="none" w:sz="0" w:space="0" w:color="auto"/>
            <w:left w:val="none" w:sz="0" w:space="0" w:color="auto"/>
            <w:bottom w:val="none" w:sz="0" w:space="0" w:color="auto"/>
            <w:right w:val="none" w:sz="0" w:space="0" w:color="auto"/>
          </w:divBdr>
          <w:divsChild>
            <w:div w:id="914511161">
              <w:marLeft w:val="0"/>
              <w:marRight w:val="0"/>
              <w:marTop w:val="0"/>
              <w:marBottom w:val="0"/>
              <w:divBdr>
                <w:top w:val="none" w:sz="0" w:space="0" w:color="auto"/>
                <w:left w:val="none" w:sz="0" w:space="0" w:color="auto"/>
                <w:bottom w:val="none" w:sz="0" w:space="0" w:color="auto"/>
                <w:right w:val="none" w:sz="0" w:space="0" w:color="auto"/>
              </w:divBdr>
              <w:divsChild>
                <w:div w:id="1434596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quality.Unit@hscn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qualityni.org/ECNI/media/ECNI/Publications/Employers%20and%20Service%20Providers/LetsTalkLetsListenGuideforPAsconsultingchildren2008.pdf?ext=.pdf" TargetMode="External"/><Relationship Id="rId10" Type="http://schemas.openxmlformats.org/officeDocument/2006/relationships/hyperlink" Target="mailto:Anne.Basten@hscni.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feguarding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ACDA-175D-4A80-B66C-9D3ACE3D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Beattie</dc:creator>
  <cp:lastModifiedBy>Paul McNeill</cp:lastModifiedBy>
  <cp:revision>6</cp:revision>
  <cp:lastPrinted>2021-11-03T14:24:00Z</cp:lastPrinted>
  <dcterms:created xsi:type="dcterms:W3CDTF">2021-09-29T13:58:00Z</dcterms:created>
  <dcterms:modified xsi:type="dcterms:W3CDTF">2021-11-03T16:27:00Z</dcterms:modified>
</cp:coreProperties>
</file>